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w:t>
      </w:r>
      <w:bookmarkEnd w:id="0"/>
      <w:r>
        <w:rPr>
          <w:rFonts w:hint="eastAsia" w:ascii="华文中宋" w:hAnsi="华文中宋" w:eastAsia="华文中宋"/>
          <w:b/>
          <w:bCs/>
          <w:color w:val="FF0000"/>
          <w:sz w:val="84"/>
          <w:lang w:val="en-US" w:eastAsia="zh-CN"/>
        </w:rPr>
        <w:t>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Start w:id="6" w:name="_GoBack"/>
      <w:bookmarkEnd w:id="6"/>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8"/>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对市政协第十四届五次会议</w:t>
            </w:r>
            <w:r>
              <w:rPr>
                <w:rFonts w:hint="eastAsia" w:ascii="宋体" w:hAnsi="宋体"/>
                <w:b/>
                <w:bCs/>
                <w:sz w:val="44"/>
                <w:lang w:val="en-US" w:eastAsia="zh-CN"/>
              </w:rPr>
              <w:br w:type="textWrapping"/>
            </w:r>
            <w:r>
              <w:rPr>
                <w:rFonts w:hint="eastAsia" w:ascii="宋体" w:hAnsi="宋体"/>
                <w:b/>
                <w:bCs/>
                <w:sz w:val="44"/>
                <w:lang w:val="en-US" w:eastAsia="zh-CN"/>
              </w:rPr>
              <w:t>第0442号提案的办理答复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val="en"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邱庭彪委员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您提出的关于携手澳门打造集成电路产业基地的提案，经会同市科技局、市工业和信息化局研究答复如下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648"/>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十四五”时期（2021—2025年），是天津构建现代工业产业体系的重要机遇期，是打造“数字天津”的重要时期。新一代信息技术产业作为驱动数字经济发展的重要引擎，是天津建设制造强市、实现高质量发展的重要抓手。2022年，为贯彻落实天津市委、市政府“制造业立市”决策部署，加快新一代信息技术产业高质量发展，根据《天津市国民经济和社会发展第十四个五年规划和二〇三五年远景目标纲要》《天津市制造业高质量发展“十四五”规划》，市工信局制定了《天津市新一代信息技术产业发展 “十四五”专项规划》，其中提出总体目标：到2025年，在产业规模、龙头企业培育、创新生态建设、跨界融合等方面取得突破，产业增长潜力充分发挥，成为具有国际影响力的新一代信息技术产业高地。产业规模持续扩大。到2025年，电子信息制造业产值突破3000亿元，平均增速超过9%；软件和信息技术服务业营业收入突破3500亿元，增速达到10%；人工智能产业不断壮大，整体质量效益进入国家第一梯队。企业实力显著增强。到2025年，打造4家掌握核心技术、具有国际竞争力、年收入超百亿元企业，培育4家具有自主创新能力、技术在国内具有领先优势、年收入超50亿元的创新型企业，形成一批具有行业领导力的龙头企业和“专精特新”中小企业。创新生态日益完善。到2025年，围绕集成电路、操作系统、工业软件等领域突破一批“卡脖子”技术，形成一批自主创新成果，发明专利数量和标准拥有量显著提升。新建国家级企业技术中心3-5家，搭建“芯火”双创基地（平台）、中国信创谷等创新载体，创新对产业的驱动效应更加显著。应用场景不断拓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黑体" w:cs="Times New Roman"/>
                <w:sz w:val="32"/>
                <w:szCs w:val="40"/>
                <w:lang w:val="en-US" w:eastAsia="zh-CN"/>
              </w:rPr>
              <w:t>一、制定集成电路专项产业政策、建设天津国家芯火双创平台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自2018年起在市政府指导下，市工业和信息化委会同市委网信办、市科委、市发展改革委联合制定《天津市智能制造天津市智能制造专项资金》，支持集成电路产业重点项目建设包括：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1.获批国家“核高基”和“芯火”双创基地(平台)项目，按实际获得国家支持金额给予等额资金支持，每个项目最高3000万元。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2.对工信部批复的未要求地方配套的集成电路领域重大项目，按实际获得国家支持金额给予等额资金支持，每个项目累计支持最高1000万元。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3.支持集成电路设计企业发展。对上一年度年销售收入首次超过3000万元、5000万元、1亿元、5亿元、10亿元的集成电路设计企业，分别给予一次性100万元、200万元、300万元、500万元、1000万元奖励，奖励资金用于企业研发投入。同一企业每个档次只能申报一次。</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4.支持集成电路设计企业开展工程产品流片。对上一年度集成电路设计企业按照 MPW(多项目晶圆)加工费60%，首次工程批流片加工费(IP授权费、掩膜版费、测试化验加工费)20%给予支持，奖励资金用于企业研发投入。以上两项合计，同一企业每年支持金额最高300万元。</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天津国家芯火双创平台于2021年7月中标国家工信部产业化平台建设项目，天津成为第十个拥有国家级芯火双创平台的城市，天津国家芯火双创平台主要通过搭建公共技术服务平台，助力本地集成电路产业链与创新链的协同发展，实现集成电路产业的聚集，打造创新创业新高地。除了市工信局外，我市天津高新区、西青区等也专门制定了相关集成电路产业政策及实施细则。</w:t>
            </w:r>
          </w:p>
          <w:p>
            <w:pPr>
              <w:keepNext w:val="0"/>
              <w:keepLines w:val="0"/>
              <w:pageBreakBefore w:val="0"/>
              <w:widowControl w:val="0"/>
              <w:kinsoku/>
              <w:wordWrap/>
              <w:overflowPunct/>
              <w:topLinePunct w:val="0"/>
              <w:autoSpaceDE/>
              <w:autoSpaceDN/>
              <w:bidi w:val="0"/>
              <w:adjustRightInd/>
              <w:snapToGrid/>
              <w:spacing w:line="580" w:lineRule="exact"/>
              <w:ind w:firstLine="655"/>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此外，我市大力推动集成电路领域自主创新与开放合作相结合。采用“揭榜挂帅”机制实施新一代人工智能等重大科技专项，支持飞腾信息等一批骨干企业开展</w:t>
            </w:r>
            <w:r>
              <w:rPr>
                <w:rFonts w:hint="default" w:ascii="Times New Roman" w:hAnsi="Times New Roman" w:eastAsia="仿宋_GB2312" w:cs="Times New Roman"/>
                <w:color w:val="000000"/>
                <w:sz w:val="32"/>
                <w:szCs w:val="32"/>
                <w:lang w:eastAsia="zh-CN"/>
              </w:rPr>
              <w:t>关键核心技术攻关，推动唯捷创芯牵头建立通信领域产学研创新联盟。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黑体" w:cs="Times New Roman"/>
                <w:sz w:val="32"/>
                <w:szCs w:val="40"/>
                <w:lang w:val="en-US" w:eastAsia="zh-CN"/>
              </w:rPr>
              <w:t>二、可深度合作高端人才引进以及科技成果转化项目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 xml:space="preserve">    </w:t>
            </w:r>
            <w:r>
              <w:rPr>
                <w:rFonts w:hint="default" w:ascii="Times New Roman" w:hAnsi="Times New Roman" w:eastAsia="仿宋_GB2312" w:cs="Times New Roman"/>
                <w:sz w:val="32"/>
                <w:szCs w:val="40"/>
                <w:lang w:val="en-US" w:eastAsia="zh-CN"/>
              </w:rPr>
              <w:t>天津市高度重视人才引进、培育，并制定了海河英才计划，在集成电路人才短缺的情况下，</w:t>
            </w:r>
            <w:r>
              <w:rPr>
                <w:rFonts w:hint="eastAsia" w:ascii="Times New Roman" w:hAnsi="Times New Roman" w:eastAsia="仿宋_GB2312" w:cs="Times New Roman"/>
                <w:sz w:val="32"/>
                <w:szCs w:val="40"/>
                <w:lang w:val="en-US" w:eastAsia="zh-CN"/>
              </w:rPr>
              <w:t>我市积极</w:t>
            </w:r>
            <w:r>
              <w:rPr>
                <w:rFonts w:hint="default" w:ascii="Times New Roman" w:hAnsi="Times New Roman" w:eastAsia="仿宋_GB2312" w:cs="Times New Roman"/>
                <w:sz w:val="32"/>
                <w:szCs w:val="40"/>
                <w:lang w:val="en-US" w:eastAsia="zh-CN"/>
              </w:rPr>
              <w:t>引进集成电路高层次人才，澳门大学拥有良好的集成电路学科基础，可以深度与天津的引才计划相结合，可以通过天津国家芯火双创平台、天津大学等实现高端领军人才的引入，市区统统筹配备专项资金政策，同时依托高校及科院院所以及现有高成长的集成电路企业可以与澳门大学在科研机构共建、科技成果示范基地共建方面开展专项合作，促进领先的科技成果在天津落地，天津市在招商方面可采取“一事一议”的全通道配套产业政策，下大力气引进好项目、培育好项目。滨海新区在创业领军人才、创新领军人才，天津国家芯火双创平台在高端集成电路人才方面均有相关的政策助力引进科学家、企业家。如引进中科院微电子研究所人才团队在滨海新区成立天津市滨海新区微电子研究院，致力于微电子领域的成果转化和创业孵化；2021年组建了先进计算与关键软件（信创）海河实验室，为促进天津集成电路领域开放合作搭建了新平台。</w:t>
            </w:r>
          </w:p>
          <w:p>
            <w:pPr>
              <w:spacing w:line="560" w:lineRule="exact"/>
              <w:ind w:left="0" w:leftChars="0" w:right="105" w:rightChars="50" w:firstLine="640" w:firstLineChars="200"/>
              <w:rPr>
                <w:rFonts w:hint="default" w:eastAsia="仿宋_GB2312"/>
                <w:sz w:val="32"/>
                <w:lang w:val="en-US" w:eastAsia="zh-CN"/>
              </w:rPr>
            </w:pPr>
            <w:r>
              <w:rPr>
                <w:rFonts w:hint="default" w:ascii="Times New Roman" w:hAnsi="Times New Roman" w:eastAsia="仿宋_GB2312" w:cs="Times New Roman"/>
                <w:sz w:val="32"/>
                <w:szCs w:val="40"/>
                <w:lang w:val="en-US" w:eastAsia="zh-CN"/>
              </w:rPr>
              <w:t>下一步，我市组织信创海河实验室等科研机构与澳门特区集成电路领域相关科研单位及创新人才就集成电路产业人才引进、科技合作、科技成果转化等方面开展专项对接，通过我市良好的营商环境、丰厚的集成电路产业政策、逐步提升的集成电路创新创业生态促进双方达成可落地的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2022年4月20日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董国辉</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022--58368683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3BDFD474"/>
    <w:rsid w:val="447E3320"/>
    <w:rsid w:val="45CB5298"/>
    <w:rsid w:val="4B30475B"/>
    <w:rsid w:val="4CA33CB0"/>
    <w:rsid w:val="4D14258D"/>
    <w:rsid w:val="57073EC0"/>
    <w:rsid w:val="59C6063C"/>
    <w:rsid w:val="63E612D4"/>
    <w:rsid w:val="67EDCADB"/>
    <w:rsid w:val="693053CC"/>
    <w:rsid w:val="6AB50BAB"/>
    <w:rsid w:val="6CA056C1"/>
    <w:rsid w:val="6D957ABF"/>
    <w:rsid w:val="7312333B"/>
    <w:rsid w:val="75561D3A"/>
    <w:rsid w:val="7952225A"/>
    <w:rsid w:val="7D174045"/>
    <w:rsid w:val="7D906DB7"/>
    <w:rsid w:val="7E674295"/>
    <w:rsid w:val="DFB97BF7"/>
    <w:rsid w:val="EE5369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semiHidden/>
    <w:qFormat/>
    <w:uiPriority w:val="0"/>
    <w:pPr>
      <w:jc w:val="center"/>
    </w:pPr>
    <w:rPr>
      <w:rFonts w:ascii="宋体"/>
      <w:b/>
      <w:bCs/>
      <w:sz w:val="44"/>
    </w:rPr>
  </w:style>
  <w:style w:type="paragraph" w:styleId="5">
    <w:name w:val="Date"/>
    <w:basedOn w:val="1"/>
    <w:next w:val="1"/>
    <w:semiHidden/>
    <w:qFormat/>
    <w:uiPriority w:val="0"/>
    <w:pPr>
      <w:ind w:left="100" w:leftChars="2500"/>
    </w:pPr>
    <w:rPr>
      <w:rFonts w:ascii="仿宋_GB2312" w:eastAsia="仿宋_GB2312"/>
      <w:sz w:val="32"/>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customStyle="1" w:styleId="12">
    <w:name w:val=" Char Char1"/>
    <w:basedOn w:val="10"/>
    <w:link w:val="7"/>
    <w:semiHidden/>
    <w:qFormat/>
    <w:uiPriority w:val="99"/>
    <w:rPr>
      <w:kern w:val="2"/>
      <w:sz w:val="18"/>
      <w:szCs w:val="18"/>
    </w:rPr>
  </w:style>
  <w:style w:type="character" w:customStyle="1" w:styleId="13">
    <w:name w:val=" Char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提案</cp:lastModifiedBy>
  <dcterms:modified xsi:type="dcterms:W3CDTF">2022-04-21T09:36:47Z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