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color w:val="FF0000"/>
          <w:sz w:val="84"/>
          <w:lang w:val="en-US" w:eastAsia="zh-CN"/>
        </w:rPr>
      </w:pPr>
      <w:bookmarkStart w:id="0" w:name="dw"/>
      <w:r>
        <w:rPr>
          <w:rFonts w:hint="eastAsia" w:ascii="华文中宋" w:hAnsi="华文中宋" w:eastAsia="华文中宋"/>
          <w:b/>
          <w:bCs/>
          <w:color w:val="FF0000"/>
          <w:sz w:val="84"/>
          <w:lang w:val="en-US" w:eastAsia="zh-CN"/>
        </w:rPr>
        <w:t>天津市人民政府</w:t>
      </w:r>
      <w:bookmarkEnd w:id="0"/>
      <w:r>
        <w:rPr>
          <w:rFonts w:hint="eastAsia" w:ascii="华文中宋" w:hAnsi="华文中宋" w:eastAsia="华文中宋"/>
          <w:b/>
          <w:bCs/>
          <w:color w:val="FF0000"/>
          <w:sz w:val="84"/>
          <w:lang w:val="en-US" w:eastAsia="zh-CN"/>
        </w:rPr>
        <w:t>港澳</w:t>
      </w:r>
    </w:p>
    <w:p>
      <w:pPr>
        <w:jc w:val="center"/>
        <w:rPr>
          <w:rFonts w:hint="default" w:ascii="华文中宋" w:hAnsi="华文中宋" w:eastAsia="华文中宋"/>
          <w:b/>
          <w:bCs/>
          <w:color w:val="FF0000"/>
          <w:sz w:val="84"/>
          <w:lang w:val="en-US"/>
        </w:rPr>
      </w:pPr>
      <w:r>
        <w:rPr>
          <w:rFonts w:hint="eastAsia" w:ascii="华文中宋" w:hAnsi="华文中宋" w:eastAsia="华文中宋"/>
          <w:b/>
          <w:bCs/>
          <w:color w:val="FF0000"/>
          <w:sz w:val="84"/>
          <w:lang w:val="en-US" w:eastAsia="zh-CN"/>
        </w:rPr>
        <w:t>工作办公室</w:t>
      </w:r>
      <w:bookmarkStart w:id="6" w:name="_GoBack"/>
      <w:bookmarkEnd w:id="6"/>
    </w:p>
    <w:p>
      <w:pPr>
        <w:spacing w:line="360" w:lineRule="exact"/>
        <w:rPr>
          <w:rFonts w:hint="eastAsia" w:ascii="仿宋_GB2312" w:hAnsi="宋体" w:eastAsia="仿宋_GB2312"/>
          <w:sz w:val="30"/>
        </w:rPr>
      </w:pPr>
    </w:p>
    <w:p>
      <w:pPr>
        <w:rPr>
          <w:rFonts w:hint="eastAsia" w:ascii="仿宋_GB2312" w:hAnsi="宋体" w:eastAsia="仿宋_GB2312"/>
          <w:sz w:val="13"/>
          <w:szCs w:val="13"/>
        </w:rPr>
      </w:pPr>
      <w:r>
        <w:rPr>
          <w:rFonts w:ascii="仿宋_GB2312" w:hAnsi="宋体" w:eastAsia="仿宋_GB2312"/>
          <w:sz w:val="13"/>
          <w:szCs w:val="13"/>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Square wrapText="bothSides"/>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pt;height:0pt;width:441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Abl9r7QAAAAAgEAAA8A&#10;AAAAAAAAAQAgAAAAOAAAAGRycy9kb3ducmV2LnhtbFBLAQIUABQAAAAIAIdO4kCUUOwp0AEAAJAD&#10;AAAOAAAAAAAAAAEAIAAAADUBAABkcnMvZTJvRG9jLnhtbFBLBQYAAAAABgAGAFkBAAB3BQAAAAA=&#10;">
                <v:fill on="f" focussize="0,0"/>
                <v:stroke color="#FF0000" joinstyle="round"/>
                <v:imagedata o:title=""/>
                <o:lock v:ext="edit" aspectratio="f"/>
                <w10:wrap type="square"/>
              </v:line>
            </w:pict>
          </mc:Fallback>
        </mc:AlternateContent>
      </w:r>
    </w:p>
    <w:tbl>
      <w:tblPr>
        <w:tblStyle w:val="8"/>
        <w:tblW w:w="9356"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78"/>
        <w:gridCol w:w="2762"/>
        <w:gridCol w:w="1272"/>
        <w:gridCol w:w="556"/>
        <w:gridCol w:w="124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center"/>
          </w:tcPr>
          <w:p>
            <w:pPr>
              <w:jc w:val="center"/>
              <w:rPr>
                <w:rFonts w:hint="default" w:ascii="宋体" w:hAnsi="宋体" w:eastAsia="宋体"/>
                <w:b/>
                <w:bCs/>
                <w:sz w:val="44"/>
                <w:lang w:val="en-US" w:eastAsia="zh-CN"/>
              </w:rPr>
            </w:pPr>
            <w:bookmarkStart w:id="1" w:name="bt"/>
            <w:r>
              <w:rPr>
                <w:rFonts w:hint="eastAsia" w:ascii="宋体" w:hAnsi="宋体"/>
                <w:b/>
                <w:bCs/>
                <w:sz w:val="44"/>
                <w:lang w:val="en-US" w:eastAsia="zh-CN"/>
              </w:rPr>
              <w:t>对市政协第十四届五次会议</w:t>
            </w:r>
            <w:r>
              <w:rPr>
                <w:rFonts w:hint="eastAsia" w:ascii="宋体" w:hAnsi="宋体"/>
                <w:b/>
                <w:bCs/>
                <w:sz w:val="44"/>
                <w:lang w:val="en-US" w:eastAsia="zh-CN"/>
              </w:rPr>
              <w:br w:type="textWrapping"/>
            </w:r>
            <w:r>
              <w:rPr>
                <w:rFonts w:hint="eastAsia" w:ascii="宋体" w:hAnsi="宋体"/>
                <w:b/>
                <w:bCs/>
                <w:sz w:val="44"/>
                <w:lang w:val="en-US" w:eastAsia="zh-CN"/>
              </w:rPr>
              <w:t>第0617号提案的办理答复</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　　类别：</w:t>
            </w:r>
          </w:p>
        </w:tc>
        <w:sdt>
          <w:sdtPr>
            <w:rPr>
              <w:rFonts w:hint="eastAsia" w:ascii="仿宋_GB2312" w:hAnsi="Times New Roman" w:eastAsia="仿宋_GB2312" w:cs="Times New Roman"/>
              <w:kern w:val="2"/>
              <w:sz w:val="32"/>
              <w:lang w:val="en-US" w:eastAsia="zh-CN" w:bidi="ar-SA"/>
            </w:rPr>
            <w:id w:val="147470906"/>
            <w:placeholder>
              <w:docPart w:val="{fbbf2bac-2777-48b9-8fe3-c7d0d6fb2e8a}"/>
            </w:placeholder>
            <w:dropDownList>
              <w:listItem w:displayText="选择一项。" w:value="选择一项。"/>
              <w:listItem w:displayText="A" w:value="A"/>
              <w:listItem w:displayText="B" w:value="B"/>
              <w:listItem w:displayText="C" w:value="C"/>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A</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签发领导：</w:t>
            </w:r>
          </w:p>
        </w:tc>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eastAsia="仿宋_GB2312"/>
                <w:sz w:val="32"/>
                <w:lang w:val="en" w:eastAsia="zh-CN"/>
              </w:rPr>
              <w:t>栾建章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06" w:type="pct"/>
            <w:gridSpan w:val="3"/>
            <w:tcBorders>
              <w:tl2br w:val="nil"/>
              <w:tr2bl w:val="nil"/>
            </w:tcBorders>
            <w:noWrap w:val="0"/>
            <w:vAlign w:val="top"/>
          </w:tcPr>
          <w:p>
            <w:pPr>
              <w:spacing w:line="480" w:lineRule="exact"/>
              <w:ind w:right="105" w:rightChars="50"/>
              <w:jc w:val="right"/>
              <w:rPr>
                <w:rFonts w:hint="eastAsia" w:ascii="仿宋_GB2312" w:eastAsia="仿宋_GB2312"/>
                <w:sz w:val="32"/>
              </w:rPr>
            </w:pPr>
          </w:p>
        </w:tc>
        <w:tc>
          <w:tcPr>
            <w:tcW w:w="963" w:type="pct"/>
            <w:gridSpan w:val="2"/>
            <w:tcBorders>
              <w:tl2br w:val="nil"/>
              <w:tr2bl w:val="nil"/>
            </w:tcBorders>
            <w:noWrap w:val="0"/>
            <w:vAlign w:val="top"/>
          </w:tcPr>
          <w:p>
            <w:pPr>
              <w:spacing w:line="480" w:lineRule="exact"/>
              <w:ind w:right="105" w:rightChars="50"/>
              <w:jc w:val="left"/>
              <w:rPr>
                <w:rFonts w:hint="default" w:ascii="仿宋_GB2312" w:eastAsia="仿宋_GB2312"/>
                <w:sz w:val="32"/>
                <w:lang w:val="en-US" w:eastAsia="zh-CN"/>
              </w:rPr>
            </w:pPr>
            <w:r>
              <w:rPr>
                <w:rFonts w:hint="eastAsia" w:ascii="仿宋_GB2312" w:eastAsia="仿宋_GB2312"/>
                <w:sz w:val="32"/>
              </w:rPr>
              <w:t>公开属性：</w:t>
            </w:r>
          </w:p>
        </w:tc>
        <w:sdt>
          <w:sdtPr>
            <w:rPr>
              <w:rFonts w:hint="eastAsia" w:ascii="仿宋_GB2312" w:hAnsi="Times New Roman" w:eastAsia="仿宋_GB2312" w:cs="Times New Roman"/>
              <w:kern w:val="2"/>
              <w:sz w:val="32"/>
              <w:lang w:val="en-US" w:eastAsia="zh-CN" w:bidi="ar-SA"/>
            </w:rPr>
            <w:id w:val="147470560"/>
            <w:placeholder>
              <w:docPart w:val="{5664cb10-74fb-4547-88a8-b8c5d4df73ec}"/>
            </w:placeholder>
            <w:dropDownList>
              <w:listItem w:displayText="选择一项。" w:value="选择一项。"/>
              <w:listItem w:displayText="是" w:value="是"/>
              <w:listItem w:displayText="否" w:value="否"/>
            </w:dropDownList>
          </w:sdtPr>
          <w:sdtEndPr>
            <w:rPr>
              <w:rFonts w:hint="eastAsia" w:ascii="仿宋_GB2312" w:hAnsi="Times New Roman" w:eastAsia="仿宋_GB2312" w:cs="Times New Roman"/>
              <w:kern w:val="2"/>
              <w:sz w:val="32"/>
              <w:lang w:val="en-US" w:eastAsia="zh-CN" w:bidi="ar-SA"/>
            </w:rPr>
          </w:sdtEndPr>
          <w:sdtContent>
            <w:tc>
              <w:tcPr>
                <w:tcW w:w="930" w:type="pct"/>
                <w:tcBorders>
                  <w:tl2br w:val="nil"/>
                  <w:tr2bl w:val="nil"/>
                </w:tcBorders>
                <w:noWrap w:val="0"/>
                <w:vAlign w:val="top"/>
              </w:tcPr>
              <w:p>
                <w:pPr>
                  <w:spacing w:line="480" w:lineRule="exact"/>
                  <w:ind w:right="105" w:rightChars="50"/>
                  <w:jc w:val="left"/>
                  <w:rPr>
                    <w:rFonts w:hint="eastAsia" w:ascii="仿宋_GB2312" w:eastAsia="仿宋_GB2312"/>
                    <w:sz w:val="32"/>
                  </w:rPr>
                </w:pPr>
                <w:r>
                  <w:rPr>
                    <w:rFonts w:hint="eastAsia" w:ascii="仿宋_GB2312" w:hAnsi="Times New Roman" w:eastAsia="仿宋_GB2312" w:cs="Times New Roman"/>
                    <w:kern w:val="2"/>
                    <w:sz w:val="32"/>
                    <w:lang w:val="en-US" w:eastAsia="zh-CN" w:bidi="ar-SA"/>
                  </w:rPr>
                  <w:t>是</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ind w:right="105" w:rightChars="50"/>
              <w:rPr>
                <w:rFonts w:eastAsia="仿宋_GB2312"/>
                <w:sz w:val="32"/>
              </w:rPr>
            </w:pPr>
            <w:bookmarkStart w:id="2" w:name="chenghu"/>
            <w:r>
              <w:rPr>
                <w:rFonts w:hint="eastAsia" w:eastAsia="仿宋_GB2312"/>
                <w:sz w:val="32"/>
                <w:lang w:val="en-US" w:eastAsia="zh-CN"/>
              </w:rPr>
              <w:t>楼家强委员</w:t>
            </w:r>
            <w:bookmarkEnd w:id="2"/>
            <w:r>
              <w:rPr>
                <w:rFonts w:eastAsia="仿宋_GB2312"/>
                <w:sz w:val="3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560" w:lineRule="exact"/>
              <w:rPr>
                <w:rFonts w:eastAsia="仿宋_GB2312"/>
                <w:sz w:val="32"/>
              </w:rPr>
            </w:pPr>
            <w:r>
              <w:rPr>
                <w:rFonts w:eastAsia="仿宋_GB2312"/>
                <w:sz w:val="32"/>
                <w:szCs w:val="18"/>
              </w:rPr>
              <w:t>　　</w:t>
            </w:r>
            <w:bookmarkStart w:id="3" w:name="shuo"/>
            <w:r>
              <w:rPr>
                <w:rFonts w:hint="eastAsia" w:eastAsia="仿宋_GB2312"/>
                <w:sz w:val="32"/>
                <w:szCs w:val="18"/>
                <w:lang w:val="en-US" w:eastAsia="zh-CN"/>
              </w:rPr>
              <w:t>您提出的关于扩大姊妹学校效能从学生交流到提升教学质素的提案，经会同市教委研究答复如下</w:t>
            </w:r>
            <w:bookmarkEnd w:id="3"/>
            <w:r>
              <w:rPr>
                <w:rFonts w:eastAsia="仿宋_GB2312"/>
                <w:sz w:val="32"/>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2" w:hRule="atLeast"/>
        </w:trPr>
        <w:tc>
          <w:tcPr>
            <w:tcW w:w="5000" w:type="pct"/>
            <w:gridSpan w:val="6"/>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加强天津与香港姊妹学校建设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早在</w:t>
            </w:r>
            <w:r>
              <w:rPr>
                <w:rFonts w:hint="default" w:ascii="Times New Roman" w:hAnsi="Times New Roman" w:eastAsia="仿宋_GB2312" w:cs="Times New Roman"/>
                <w:sz w:val="32"/>
                <w:szCs w:val="32"/>
                <w:lang w:val="en-US" w:eastAsia="zh-CN"/>
              </w:rPr>
              <w:t>2006年，天津市</w:t>
            </w:r>
            <w:r>
              <w:rPr>
                <w:rFonts w:hint="default" w:ascii="Times New Roman" w:hAnsi="Times New Roman" w:eastAsia="仿宋_GB2312" w:cs="Times New Roman"/>
                <w:sz w:val="32"/>
                <w:szCs w:val="32"/>
                <w:lang w:eastAsia="zh-CN"/>
              </w:rPr>
              <w:t>南开中学与香港圣保罗男女中学</w:t>
            </w:r>
            <w:r>
              <w:rPr>
                <w:rFonts w:hint="default" w:ascii="Times New Roman" w:hAnsi="Times New Roman" w:eastAsia="仿宋_GB2312" w:cs="Times New Roman"/>
                <w:sz w:val="32"/>
                <w:szCs w:val="32"/>
                <w:lang w:val="en-US" w:eastAsia="zh-CN"/>
              </w:rPr>
              <w:t>缔结成姊妹学校，成为津港第一所姊妹学校。我市积极推动津港姊妹学校建设，先后</w:t>
            </w:r>
            <w:r>
              <w:rPr>
                <w:rFonts w:hint="default" w:ascii="Times New Roman" w:hAnsi="Times New Roman" w:eastAsia="仿宋_GB2312" w:cs="Times New Roman"/>
                <w:sz w:val="32"/>
                <w:szCs w:val="32"/>
                <w:lang w:eastAsia="zh-CN"/>
              </w:rPr>
              <w:t>促成天津市第一中学与香港余振强纪念第二中学姊妹学校项目、天津市实验中学与香港加诺撒培德书院姊妹学校项目、天津市耀华中学与香港浸会大学附属学校王锦辉中小学姊妹学校项目、天津外国语大学附属外国语学校与香港圣马可中学姊妹学校项目、天津市昆明路小学滨海学校与香港新界妇孺福利会有限公司梁省德学校姊妹学校项目、天津市海河中学与香港保良局甲子何玉清中学姊妹学校项目。</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2018年，</w:t>
            </w:r>
            <w:r>
              <w:rPr>
                <w:rFonts w:hint="default" w:ascii="Times New Roman" w:hAnsi="Times New Roman" w:eastAsia="仿宋_GB2312" w:cs="Times New Roman"/>
                <w:sz w:val="32"/>
                <w:szCs w:val="32"/>
                <w:lang w:eastAsia="zh-CN"/>
              </w:rPr>
              <w:t>天津市积极探索，创建了“3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3”姊妹学校结对模式。天津市崇化中学、天津市第五十五中学、天津市枫林路中学与香港仁济医院第二中学、香港灵粮堂刘梅轩中学、香港仁济医院王华湘中学互相结为姊妹学校，并在津举行签字仪式。截至目前，</w:t>
            </w:r>
            <w:r>
              <w:rPr>
                <w:rFonts w:hint="default" w:ascii="Times New Roman" w:hAnsi="Times New Roman" w:eastAsia="仿宋_GB2312" w:cs="Times New Roman"/>
                <w:sz w:val="32"/>
                <w:szCs w:val="32"/>
                <w:lang w:val="en-US" w:eastAsia="zh-CN"/>
              </w:rPr>
              <w:t>天津市中小学与香港中小学共缔结16对姊妹学校。</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近年来，津港姊妹学校密切联系，通过访问、考察、展览、同上一堂课等多种方式，开展了以中华传统文化、历史文化、爱国主义、团结抗疫等为主题的师生交流活动，在课堂教学、教材、学校管理、学生心理健康等领域进行了专题研讨、互访互学，</w:t>
            </w:r>
            <w:r>
              <w:rPr>
                <w:rFonts w:hint="default" w:ascii="Times New Roman" w:hAnsi="Times New Roman" w:eastAsia="仿宋_GB2312" w:cs="Times New Roman"/>
                <w:sz w:val="32"/>
                <w:szCs w:val="32"/>
                <w:lang w:eastAsia="zh-CN"/>
              </w:rPr>
              <w:t>加深了津港两地师生的相互理解和融合。疫情发生以来，津港姊妹学校</w:t>
            </w:r>
            <w:r>
              <w:rPr>
                <w:rFonts w:hint="default" w:ascii="Times New Roman" w:hAnsi="Times New Roman" w:eastAsia="仿宋_GB2312" w:cs="Times New Roman"/>
                <w:sz w:val="32"/>
                <w:szCs w:val="32"/>
                <w:lang w:val="en-US" w:eastAsia="zh-CN"/>
              </w:rPr>
              <w:t>积极探索交流途径和方式，调动线上、线下各种资源，</w:t>
            </w:r>
            <w:r>
              <w:rPr>
                <w:rFonts w:hint="default" w:ascii="Times New Roman" w:hAnsi="Times New Roman" w:eastAsia="仿宋_GB2312" w:cs="Times New Roman"/>
                <w:sz w:val="32"/>
                <w:szCs w:val="32"/>
                <w:lang w:eastAsia="zh-CN"/>
              </w:rPr>
              <w:t>保证交流交往不能断、不能停，学校通过微信、邮件、电话等线上方式，在春节、端午节等传统节日互致问候。</w:t>
            </w:r>
            <w:r>
              <w:rPr>
                <w:rFonts w:hint="default" w:ascii="Times New Roman" w:hAnsi="Times New Roman" w:eastAsia="仿宋_GB2312" w:cs="Times New Roman"/>
                <w:sz w:val="32"/>
                <w:szCs w:val="32"/>
                <w:lang w:val="en-US" w:eastAsia="zh-CN"/>
              </w:rPr>
              <w:t>天津市耀华中学与香港浸会大学附属王锦辉学校学生开展了以抗击疫情为主题的徒手画和手抄报设计交流，</w:t>
            </w:r>
            <w:r>
              <w:rPr>
                <w:rFonts w:hint="default" w:ascii="Times New Roman" w:hAnsi="Times New Roman" w:eastAsia="仿宋_GB2312" w:cs="Times New Roman"/>
                <w:sz w:val="32"/>
                <w:szCs w:val="32"/>
                <w:lang w:eastAsia="zh-CN"/>
              </w:rPr>
              <w:t>携手共同抗疫</w:t>
            </w:r>
            <w:r>
              <w:rPr>
                <w:rFonts w:hint="default" w:ascii="Times New Roman" w:hAnsi="Times New Roman" w:eastAsia="仿宋_GB2312" w:cs="Times New Roman"/>
                <w:sz w:val="32"/>
                <w:szCs w:val="32"/>
                <w:lang w:val="en-US" w:eastAsia="zh-CN"/>
              </w:rPr>
              <w:t>；天津外国语大学附属外国语学校与圣马可中学举办了线上音乐及戏剧汇演活动，进一步加深了双方交流。</w:t>
            </w:r>
          </w:p>
          <w:p>
            <w:pPr>
              <w:keepNext w:val="0"/>
              <w:keepLines w:val="0"/>
              <w:pageBreakBefore w:val="0"/>
              <w:widowControl w:val="0"/>
              <w:kinsoku/>
              <w:wordWrap/>
              <w:overflowPunct/>
              <w:topLinePunct w:val="0"/>
              <w:autoSpaceDE/>
              <w:autoSpaceDN/>
              <w:bidi w:val="0"/>
              <w:adjustRightInd/>
              <w:snapToGrid/>
              <w:spacing w:line="550" w:lineRule="exact"/>
              <w:ind w:firstLine="645"/>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提升教师参与度和认同度</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天津市认真落实</w:t>
            </w:r>
            <w:r>
              <w:rPr>
                <w:rFonts w:hint="default" w:ascii="Times New Roman" w:hAnsi="Times New Roman" w:eastAsia="仿宋_GB2312" w:cs="Times New Roman"/>
                <w:sz w:val="32"/>
                <w:szCs w:val="32"/>
              </w:rPr>
              <w:t>减轻中小学教师负担</w:t>
            </w:r>
            <w:r>
              <w:rPr>
                <w:rFonts w:hint="default" w:ascii="Times New Roman" w:hAnsi="Times New Roman" w:eastAsia="仿宋_GB2312" w:cs="Times New Roman"/>
                <w:sz w:val="32"/>
                <w:szCs w:val="32"/>
                <w:lang w:eastAsia="zh-CN"/>
              </w:rPr>
              <w:t>工作要求，制定了</w:t>
            </w:r>
            <w:r>
              <w:rPr>
                <w:rFonts w:hint="default" w:ascii="Times New Roman" w:hAnsi="Times New Roman" w:eastAsia="仿宋_GB2312" w:cs="Times New Roman"/>
                <w:sz w:val="32"/>
                <w:szCs w:val="32"/>
              </w:rPr>
              <w:t>《天津市中小学教师减负清单》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切实减少</w:t>
            </w:r>
            <w:r>
              <w:rPr>
                <w:rFonts w:hint="default" w:ascii="Times New Roman" w:hAnsi="Times New Roman" w:eastAsia="仿宋_GB2312" w:cs="Times New Roman"/>
                <w:sz w:val="32"/>
                <w:szCs w:val="32"/>
                <w:lang w:eastAsia="zh-CN"/>
              </w:rPr>
              <w:t>中小学教师</w:t>
            </w:r>
            <w:r>
              <w:rPr>
                <w:rFonts w:hint="default" w:ascii="Times New Roman" w:hAnsi="Times New Roman" w:eastAsia="仿宋_GB2312" w:cs="Times New Roman"/>
                <w:sz w:val="32"/>
                <w:szCs w:val="32"/>
              </w:rPr>
              <w:t>填写报表事项、规范借调中小学教师工作、统筹安排中小学教师培训工作</w:t>
            </w:r>
            <w:r>
              <w:rPr>
                <w:rFonts w:hint="default" w:ascii="Times New Roman" w:hAnsi="Times New Roman" w:eastAsia="仿宋_GB2312" w:cs="Times New Roman"/>
                <w:sz w:val="32"/>
                <w:szCs w:val="32"/>
                <w:lang w:val="en-US" w:eastAsia="zh-CN"/>
              </w:rPr>
              <w:t>，营造良好的教学教学环境，也为津港姊妹学校教师参与交流活动奠定了很好的基础，对于提升我市姊妹学校教师参与津港合作与交流发挥了积极作用</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疫情期间，姊妹学校保持密切联系，积极探索线上交流方式，相互鼓励，相互支持，加强沟通，开展了多项特色主题活动，取得了很好的效果。</w:t>
            </w:r>
            <w:r>
              <w:rPr>
                <w:rFonts w:hint="eastAsia" w:ascii="Times New Roman" w:hAnsi="Times New Roman" w:eastAsia="仿宋_GB2312" w:cs="Times New Roman"/>
                <w:sz w:val="32"/>
                <w:szCs w:val="32"/>
                <w:lang w:eastAsia="zh-CN"/>
              </w:rPr>
              <w:t>下一步，我市将持续推进姊妹学校的建设和交流互动，发挥平台优势，不断促进津港青少年民心互通，积极做好人心回归工作。</w:t>
            </w:r>
          </w:p>
          <w:p>
            <w:pPr>
              <w:spacing w:line="560" w:lineRule="exact"/>
              <w:ind w:left="0" w:leftChars="0" w:right="105" w:rightChars="50" w:firstLine="640" w:firstLineChars="200"/>
              <w:rPr>
                <w:rFonts w:hint="default" w:eastAsia="仿宋_GB2312"/>
                <w:sz w:val="3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00" w:type="pct"/>
            <w:gridSpan w:val="6"/>
            <w:tcBorders>
              <w:tl2br w:val="nil"/>
              <w:tr2bl w:val="nil"/>
            </w:tcBorders>
            <w:noWrap w:val="0"/>
            <w:vAlign w:val="top"/>
          </w:tcPr>
          <w:p>
            <w:pPr>
              <w:spacing w:line="480" w:lineRule="exact"/>
              <w:ind w:right="105" w:rightChars="50"/>
              <w:jc w:val="both"/>
              <w:rPr>
                <w:rFonts w:hint="eastAsia" w:ascii="仿宋_GB2312" w:eastAsia="仿宋_GB2312"/>
                <w:sz w:val="32"/>
              </w:rPr>
            </w:pPr>
          </w:p>
          <w:p>
            <w:pPr>
              <w:spacing w:line="480" w:lineRule="exact"/>
              <w:ind w:right="105" w:rightChars="50"/>
              <w:jc w:val="right"/>
              <w:rPr>
                <w:rFonts w:hint="eastAsia" w:ascii="仿宋_GB2312" w:eastAsia="仿宋_GB2312"/>
                <w:sz w:val="32"/>
              </w:rPr>
            </w:pPr>
            <w:bookmarkStart w:id="4" w:name="now"/>
            <w:r>
              <w:rPr>
                <w:rFonts w:hint="eastAsia" w:ascii="仿宋_GB2312" w:eastAsia="仿宋_GB2312"/>
                <w:sz w:val="32"/>
                <w:lang w:val="en-US" w:eastAsia="zh-CN"/>
              </w:rPr>
              <w:t>2022年4月20日</w:t>
            </w:r>
            <w:bookmarkEnd w:id="4"/>
            <w:r>
              <w:rPr>
                <w:rFonts w:hint="eastAsia" w:ascii="仿宋_GB2312" w:eastAsia="仿宋_GB2312"/>
                <w:sz w:val="32"/>
              </w:rPr>
              <w:t xml:space="preserve">   </w:t>
            </w:r>
          </w:p>
          <w:p>
            <w:pPr>
              <w:spacing w:line="480" w:lineRule="exact"/>
              <w:ind w:right="105" w:rightChars="50"/>
              <w:jc w:val="right"/>
              <w:rPr>
                <w:rFonts w:hint="eastAsia" w:ascii="仿宋_GB2312" w:eastAsia="仿宋_GB2312"/>
                <w:sz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 w:hRule="atLeast"/>
        </w:trPr>
        <w:tc>
          <w:tcPr>
            <w:tcW w:w="5000" w:type="pct"/>
            <w:gridSpan w:val="6"/>
            <w:tcBorders>
              <w:tl2br w:val="nil"/>
              <w:tr2bl w:val="nil"/>
            </w:tcBorders>
            <w:noWrap w:val="0"/>
            <w:vAlign w:val="bottom"/>
          </w:tcPr>
          <w:p>
            <w:pPr>
              <w:spacing w:line="480" w:lineRule="exact"/>
              <w:ind w:right="105" w:rightChars="50"/>
              <w:rPr>
                <w:rFonts w:hint="default" w:ascii="仿宋_GB2312" w:eastAsia="仿宋_GB2312"/>
                <w:sz w:val="32"/>
                <w:lang w:val="en-US" w:eastAsia="zh-CN"/>
              </w:rPr>
            </w:pPr>
            <w:r>
              <w:rPr>
                <w:rFonts w:ascii="仿宋_GB2312" w:eastAsia="仿宋_GB2312"/>
                <w:sz w:val="32"/>
                <w:szCs w:val="18"/>
              </w:rPr>
              <w:t xml:space="preserve"> </w:t>
            </w:r>
            <w:bookmarkStart w:id="5" w:name="fy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950"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工作人员：</w:t>
            </w:r>
          </w:p>
        </w:tc>
        <w:tc>
          <w:tcPr>
            <w:tcW w:w="1476" w:type="pct"/>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eastAsia="zh-CN"/>
              </w:rPr>
              <w:t>董国辉</w:t>
            </w:r>
          </w:p>
        </w:tc>
        <w:tc>
          <w:tcPr>
            <w:tcW w:w="977"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rPr>
              <w:t>联系电话：</w:t>
            </w:r>
          </w:p>
        </w:tc>
        <w:tc>
          <w:tcPr>
            <w:tcW w:w="1595" w:type="pct"/>
            <w:gridSpan w:val="2"/>
            <w:tcBorders>
              <w:tl2br w:val="nil"/>
              <w:tr2bl w:val="nil"/>
            </w:tcBorders>
            <w:noWrap w:val="0"/>
            <w:vAlign w:val="top"/>
          </w:tcPr>
          <w:p>
            <w:pPr>
              <w:spacing w:line="480" w:lineRule="exact"/>
              <w:ind w:right="105" w:rightChars="50"/>
              <w:rPr>
                <w:rFonts w:hint="eastAsia" w:ascii="仿宋_GB2312" w:eastAsia="仿宋_GB2312"/>
                <w:sz w:val="32"/>
              </w:rPr>
            </w:pPr>
            <w:r>
              <w:rPr>
                <w:rFonts w:hint="eastAsia" w:ascii="仿宋_GB2312" w:eastAsia="仿宋_GB2312"/>
                <w:sz w:val="32"/>
                <w:lang w:val="en-US" w:eastAsia="zh-CN"/>
              </w:rPr>
              <w:t>022--58368683</w:t>
            </w:r>
          </w:p>
        </w:tc>
      </w:tr>
    </w:tbl>
    <w:p>
      <w:pPr>
        <w:spacing w:line="20" w:lineRule="exact"/>
        <w:ind w:right="1151" w:rightChars="548"/>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361" w:bottom="1985" w:left="147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725F"/>
    <w:rsid w:val="00116DAE"/>
    <w:rsid w:val="00151656"/>
    <w:rsid w:val="00160D66"/>
    <w:rsid w:val="0018011C"/>
    <w:rsid w:val="00181F02"/>
    <w:rsid w:val="001A7225"/>
    <w:rsid w:val="001F61E3"/>
    <w:rsid w:val="002371A3"/>
    <w:rsid w:val="00261F6E"/>
    <w:rsid w:val="00272F04"/>
    <w:rsid w:val="00272F5E"/>
    <w:rsid w:val="00296F01"/>
    <w:rsid w:val="002B29B1"/>
    <w:rsid w:val="002C1912"/>
    <w:rsid w:val="002F0464"/>
    <w:rsid w:val="002F2BA0"/>
    <w:rsid w:val="00307EB1"/>
    <w:rsid w:val="003308ED"/>
    <w:rsid w:val="00354A16"/>
    <w:rsid w:val="00372068"/>
    <w:rsid w:val="00375D6E"/>
    <w:rsid w:val="00382172"/>
    <w:rsid w:val="004277E8"/>
    <w:rsid w:val="00460BAF"/>
    <w:rsid w:val="004C2F93"/>
    <w:rsid w:val="0052525D"/>
    <w:rsid w:val="00575302"/>
    <w:rsid w:val="0059759C"/>
    <w:rsid w:val="005B7C6A"/>
    <w:rsid w:val="005D25F2"/>
    <w:rsid w:val="005E0C68"/>
    <w:rsid w:val="005E7285"/>
    <w:rsid w:val="005F2062"/>
    <w:rsid w:val="005F5E66"/>
    <w:rsid w:val="00663555"/>
    <w:rsid w:val="007616B6"/>
    <w:rsid w:val="007746FD"/>
    <w:rsid w:val="007B2223"/>
    <w:rsid w:val="007D7D3A"/>
    <w:rsid w:val="007E1B8B"/>
    <w:rsid w:val="008155F9"/>
    <w:rsid w:val="00821E10"/>
    <w:rsid w:val="008222BF"/>
    <w:rsid w:val="00843262"/>
    <w:rsid w:val="00883F64"/>
    <w:rsid w:val="00895F09"/>
    <w:rsid w:val="00917F65"/>
    <w:rsid w:val="00930E75"/>
    <w:rsid w:val="00953B90"/>
    <w:rsid w:val="00982E66"/>
    <w:rsid w:val="009A0C11"/>
    <w:rsid w:val="009A5A86"/>
    <w:rsid w:val="009F568A"/>
    <w:rsid w:val="00A01DE8"/>
    <w:rsid w:val="00A03B4F"/>
    <w:rsid w:val="00AE0062"/>
    <w:rsid w:val="00B21A65"/>
    <w:rsid w:val="00B32F4D"/>
    <w:rsid w:val="00B67BF0"/>
    <w:rsid w:val="00B96B7B"/>
    <w:rsid w:val="00C16116"/>
    <w:rsid w:val="00C40842"/>
    <w:rsid w:val="00C559AE"/>
    <w:rsid w:val="00CC5ACA"/>
    <w:rsid w:val="00CD3DDD"/>
    <w:rsid w:val="00CD5AEB"/>
    <w:rsid w:val="00D07119"/>
    <w:rsid w:val="00D47E88"/>
    <w:rsid w:val="00DC2D37"/>
    <w:rsid w:val="00E00CB1"/>
    <w:rsid w:val="00E20115"/>
    <w:rsid w:val="00E81C98"/>
    <w:rsid w:val="00E87832"/>
    <w:rsid w:val="00F20A91"/>
    <w:rsid w:val="00F34F3B"/>
    <w:rsid w:val="00F80197"/>
    <w:rsid w:val="02950A43"/>
    <w:rsid w:val="05FB352C"/>
    <w:rsid w:val="062C73BA"/>
    <w:rsid w:val="0F415A30"/>
    <w:rsid w:val="1A1A2EA1"/>
    <w:rsid w:val="1BE3569F"/>
    <w:rsid w:val="20FE4F37"/>
    <w:rsid w:val="22666FCA"/>
    <w:rsid w:val="23957D52"/>
    <w:rsid w:val="265833FB"/>
    <w:rsid w:val="2A106D0B"/>
    <w:rsid w:val="2DCA2874"/>
    <w:rsid w:val="377A2E5E"/>
    <w:rsid w:val="385C0DBD"/>
    <w:rsid w:val="3A57702C"/>
    <w:rsid w:val="447E3320"/>
    <w:rsid w:val="45CB5298"/>
    <w:rsid w:val="4B30475B"/>
    <w:rsid w:val="4CA33CB0"/>
    <w:rsid w:val="4D14258D"/>
    <w:rsid w:val="57073EC0"/>
    <w:rsid w:val="59C6063C"/>
    <w:rsid w:val="5FF3FD74"/>
    <w:rsid w:val="63E612D4"/>
    <w:rsid w:val="67D6ABC3"/>
    <w:rsid w:val="693053CC"/>
    <w:rsid w:val="6AB50BAB"/>
    <w:rsid w:val="6CA056C1"/>
    <w:rsid w:val="6D957ABF"/>
    <w:rsid w:val="7312333B"/>
    <w:rsid w:val="75561D3A"/>
    <w:rsid w:val="7952225A"/>
    <w:rsid w:val="7D174045"/>
    <w:rsid w:val="7D906DB7"/>
    <w:rsid w:val="7E674295"/>
    <w:rsid w:val="8BE25A32"/>
    <w:rsid w:val="EBFEB8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semiHidden/>
    <w:qFormat/>
    <w:uiPriority w:val="0"/>
    <w:pPr>
      <w:jc w:val="center"/>
    </w:pPr>
    <w:rPr>
      <w:rFonts w:ascii="宋体"/>
      <w:b/>
      <w:bCs/>
      <w:sz w:val="44"/>
    </w:rPr>
  </w:style>
  <w:style w:type="paragraph" w:styleId="5">
    <w:name w:val="Date"/>
    <w:basedOn w:val="1"/>
    <w:next w:val="1"/>
    <w:semiHidden/>
    <w:qFormat/>
    <w:uiPriority w:val="0"/>
    <w:pPr>
      <w:ind w:left="100" w:leftChars="2500"/>
    </w:pPr>
    <w:rPr>
      <w:rFonts w:ascii="仿宋_GB2312" w:eastAsia="仿宋_GB2312"/>
      <w:sz w:val="32"/>
    </w:r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character" w:customStyle="1" w:styleId="12">
    <w:name w:val=" Char Char1"/>
    <w:basedOn w:val="10"/>
    <w:link w:val="7"/>
    <w:semiHidden/>
    <w:qFormat/>
    <w:uiPriority w:val="99"/>
    <w:rPr>
      <w:kern w:val="2"/>
      <w:sz w:val="18"/>
      <w:szCs w:val="18"/>
    </w:rPr>
  </w:style>
  <w:style w:type="character" w:customStyle="1" w:styleId="13">
    <w:name w:val=" Char Char"/>
    <w:basedOn w:val="10"/>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bbf2bac-2777-48b9-8fe3-c7d0d6fb2e8a}"/>
        <w:style w:val=""/>
        <w:category>
          <w:name w:val="常规"/>
          <w:gallery w:val="placeholder"/>
        </w:category>
        <w:types>
          <w:type w:val="bbPlcHdr"/>
        </w:types>
        <w:behaviors>
          <w:behavior w:val="content"/>
        </w:behaviors>
        <w:description w:val=""/>
        <w:guid w:val="{fbbf2bac-2777-48b9-8fe3-c7d0d6fb2e8a}"/>
      </w:docPartPr>
      <w:docPartBody>
        <w:p>
          <w:r>
            <w:rPr>
              <w:color w:val="808080"/>
            </w:rPr>
            <w:t>选择一项。</w:t>
          </w:r>
        </w:p>
      </w:docPartBody>
    </w:docPart>
    <w:docPart>
      <w:docPartPr>
        <w:name w:val="{5664cb10-74fb-4547-88a8-b8c5d4df73ec}"/>
        <w:style w:val=""/>
        <w:category>
          <w:name w:val="常规"/>
          <w:gallery w:val="placeholder"/>
        </w:category>
        <w:types>
          <w:type w:val="bbPlcHdr"/>
        </w:types>
        <w:behaviors>
          <w:behavior w:val="content"/>
        </w:behaviors>
        <w:description w:val=""/>
        <w:guid w:val="{5664cb10-74fb-4547-88a8-b8c5d4df73ec}"/>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spice</Company>
  <Pages>5</Pages>
  <Words>341</Words>
  <Characters>1948</Characters>
  <Lines>16</Lines>
  <Paragraphs>4</Paragraphs>
  <TotalTime>0</TotalTime>
  <ScaleCrop>false</ScaleCrop>
  <LinksUpToDate>false</LinksUpToDate>
  <CharactersWithSpaces>2285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2021-04-07T11:49:00Z</dcterms:created>
  <dc:creator>wjc</dc:creator>
  <cp:lastModifiedBy>提案</cp:lastModifiedBy>
  <dcterms:modified xsi:type="dcterms:W3CDTF">2022-04-21T09:37:57Z</dcterms:modified>
  <dc:title>各区县委办局办公室：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