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End w:id="0"/>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6"/>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对市政协第十五届一次会议</w:t>
            </w:r>
            <w:r>
              <w:rPr>
                <w:rFonts w:hint="eastAsia" w:ascii="宋体" w:hAnsi="宋体"/>
                <w:b/>
                <w:bCs/>
                <w:sz w:val="44"/>
                <w:lang w:val="en-US" w:eastAsia="zh-CN"/>
              </w:rPr>
              <w:br w:type="textWrapping"/>
            </w:r>
            <w:r>
              <w:rPr>
                <w:rFonts w:hint="eastAsia" w:ascii="宋体" w:hAnsi="宋体"/>
                <w:b/>
                <w:bCs/>
                <w:sz w:val="44"/>
                <w:lang w:val="en-US" w:eastAsia="zh-CN"/>
              </w:rPr>
              <w:t>第0654号提案的办理答复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eastAsia="仿宋_GB2312"/>
                <w:sz w:val="32"/>
                <w:lang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李昕维委员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您提出的关于有效利用香港多层次资本市场 打造天津对外开放新优势的提案，经会同滨海新区、市金融局、市工业和信息化局研究答复如下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keepNext w:val="0"/>
              <w:keepLines w:val="0"/>
              <w:pageBreakBefore w:val="0"/>
              <w:kinsoku/>
              <w:wordWrap/>
              <w:overflowPunct/>
              <w:topLinePunct w:val="0"/>
              <w:autoSpaceDE/>
              <w:autoSpaceDN/>
              <w:bidi w:val="0"/>
              <w:adjustRightInd/>
              <w:spacing w:beforeAutospacing="0" w:afterAutospacing="0" w:line="580" w:lineRule="exact"/>
              <w:ind w:left="0" w:leftChars="0" w:right="105" w:rightChars="50" w:firstLine="640" w:firstLineChars="200"/>
              <w:textAlignment w:val="auto"/>
              <w:rPr>
                <w:rFonts w:hint="default" w:ascii="Times New Roman" w:hAnsi="Times New Roman" w:eastAsia="仿宋_GB2312" w:cs="Times New Roman"/>
                <w:sz w:val="32"/>
                <w:szCs w:val="18"/>
                <w:lang w:val="en-US" w:eastAsia="zh-CN"/>
              </w:rPr>
            </w:pPr>
            <w:r>
              <w:rPr>
                <w:rFonts w:hint="default" w:ascii="Times New Roman" w:hAnsi="Times New Roman" w:eastAsia="仿宋_GB2312" w:cs="Times New Roman"/>
                <w:sz w:val="32"/>
                <w:lang w:val="en-US" w:eastAsia="zh-CN"/>
              </w:rPr>
              <w:t>我市高度重视与香港市场的合作，天津与香港有着长期良好的合作基础，今年2月，为全面落实我市“十项行动”，积极推动天津与香港的经贸投资合作迈上新台阶，由天津市人民政府主办的“合作谱新篇 携手赢未来”——天津（香港）投资环境推介会在香港会展中心成功举办。香港工商企业界知名人士和社会名流应邀出席活动，会议规模近300人，现场签约津港两地合作项目超过150亿元。</w:t>
            </w:r>
            <w:bookmarkStart w:id="6" w:name="_GoBack"/>
            <w:bookmarkEnd w:id="6"/>
            <w:r>
              <w:rPr>
                <w:rFonts w:hint="default" w:ascii="Times New Roman" w:hAnsi="Times New Roman" w:eastAsia="仿宋_GB2312" w:cs="Times New Roman"/>
                <w:sz w:val="32"/>
                <w:lang w:val="en-US" w:eastAsia="zh-CN"/>
              </w:rPr>
              <w:t>407家香港制造业企业在天津深耕细作。</w:t>
            </w:r>
            <w:r>
              <w:rPr>
                <w:rFonts w:hint="default" w:ascii="Times New Roman" w:hAnsi="Times New Roman" w:eastAsia="仿宋_GB2312" w:cs="Times New Roman"/>
                <w:sz w:val="32"/>
                <w:szCs w:val="18"/>
                <w:lang w:val="en-US" w:eastAsia="zh-CN"/>
              </w:rPr>
              <w:t>天津自贸区是天津对外开放的高地，承载着“为国家试制度，为地方谋发展”的重要定位。近年来，以开放度提升为主要特征的天津自贸金融改革创新取得了丰硕成果，利用香港资本市场程度也不断加深。</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黑体" w:cs="Times New Roman"/>
                <w:sz w:val="32"/>
                <w:szCs w:val="18"/>
                <w:lang w:val="en-US" w:eastAsia="zh-CN"/>
              </w:rPr>
            </w:pPr>
            <w:r>
              <w:rPr>
                <w:rFonts w:hint="default" w:ascii="Times New Roman" w:hAnsi="Times New Roman" w:eastAsia="黑体" w:cs="Times New Roman"/>
                <w:sz w:val="32"/>
                <w:szCs w:val="18"/>
                <w:lang w:val="en-US" w:eastAsia="zh-CN"/>
              </w:rPr>
              <w:t>一、在自贸区建设发展方面</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sz w:val="32"/>
                <w:szCs w:val="18"/>
                <w:lang w:val="en-US" w:eastAsia="zh-CN"/>
              </w:rPr>
            </w:pPr>
            <w:r>
              <w:rPr>
                <w:rFonts w:hint="eastAsia" w:ascii="方正楷体_GBK" w:hAnsi="方正楷体_GBK" w:eastAsia="方正楷体_GBK" w:cs="方正楷体_GBK"/>
                <w:sz w:val="32"/>
                <w:szCs w:val="18"/>
                <w:lang w:val="en-US" w:eastAsia="zh-CN"/>
              </w:rPr>
              <w:t>（一）推动政策落地。</w:t>
            </w:r>
            <w:r>
              <w:rPr>
                <w:rFonts w:hint="default" w:ascii="Times New Roman" w:hAnsi="Times New Roman" w:eastAsia="仿宋_GB2312" w:cs="Times New Roman"/>
                <w:sz w:val="32"/>
                <w:szCs w:val="18"/>
                <w:lang w:val="en-US" w:eastAsia="zh-CN"/>
              </w:rPr>
              <w:t>《关于金融支持中国（天津）自由贸易试验区建设的指导意见》（即“天津金改30条”）得到很好落实。该文件共包括54项具体政策，核心内容集中在“扩大人民币跨境使用”“深化外汇管理改革”“促进租赁业发展”三个领域。目前，该文件准许落地的政策已全部落地，政策落地率超80%，其中多项内容已向全国复制推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仿宋_GB2312" w:cs="Times New Roman"/>
                <w:sz w:val="32"/>
                <w:szCs w:val="18"/>
                <w:lang w:val="en-US" w:eastAsia="zh-CN"/>
              </w:rPr>
            </w:pPr>
            <w:r>
              <w:rPr>
                <w:rFonts w:hint="default" w:ascii="方正楷体_GBK" w:hAnsi="方正楷体_GBK" w:eastAsia="方正楷体_GBK" w:cs="方正楷体_GBK"/>
                <w:sz w:val="32"/>
                <w:szCs w:val="18"/>
                <w:lang w:val="en-US" w:eastAsia="zh-CN"/>
              </w:rPr>
              <w:t xml:space="preserve">    （二）充分发挥自由贸易账户（FT账户）功能。</w:t>
            </w:r>
            <w:r>
              <w:rPr>
                <w:rFonts w:hint="default" w:ascii="Times New Roman" w:hAnsi="Times New Roman" w:eastAsia="仿宋_GB2312" w:cs="Times New Roman"/>
                <w:sz w:val="32"/>
                <w:szCs w:val="18"/>
                <w:lang w:val="en-US" w:eastAsia="zh-CN"/>
              </w:rPr>
              <w:t>目前，全国仅上海、广东、海南、天津拥有，截至2022年底，天津FT账户累计结算量已超6400亿人民币，位列全国第三。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textAlignment w:val="auto"/>
              <w:rPr>
                <w:rFonts w:hint="default" w:ascii="Times New Roman" w:hAnsi="Times New Roman" w:eastAsia="仿宋_GB2312" w:cs="Times New Roman"/>
                <w:sz w:val="32"/>
                <w:szCs w:val="18"/>
                <w:lang w:val="en-US" w:eastAsia="zh-CN"/>
              </w:rPr>
            </w:pPr>
            <w:r>
              <w:rPr>
                <w:rFonts w:hint="default" w:ascii="方正楷体_GBK" w:hAnsi="方正楷体_GBK" w:eastAsia="方正楷体_GBK" w:cs="方正楷体_GBK"/>
                <w:sz w:val="32"/>
                <w:szCs w:val="18"/>
                <w:lang w:val="en-US" w:eastAsia="zh-CN"/>
              </w:rPr>
              <w:t>（三）“非居民投资要素市场”政策获准。</w:t>
            </w:r>
            <w:r>
              <w:rPr>
                <w:rFonts w:hint="default" w:ascii="Times New Roman" w:hAnsi="Times New Roman" w:eastAsia="仿宋_GB2312" w:cs="Times New Roman"/>
                <w:sz w:val="32"/>
                <w:szCs w:val="18"/>
                <w:lang w:val="en-US" w:eastAsia="zh-CN"/>
              </w:rPr>
              <w:t>目前全国有海南、天津两地享受该政策。天津自贸区正在依托存量要素市场挖掘相关需求，争取尽快落地。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textAlignment w:val="auto"/>
              <w:rPr>
                <w:rFonts w:hint="default" w:ascii="Times New Roman" w:hAnsi="Times New Roman" w:eastAsia="仿宋_GB2312" w:cs="Times New Roman"/>
                <w:sz w:val="32"/>
                <w:szCs w:val="18"/>
                <w:lang w:val="en-US" w:eastAsia="zh-CN"/>
              </w:rPr>
            </w:pPr>
            <w:r>
              <w:rPr>
                <w:rFonts w:hint="default" w:ascii="方正楷体_GBK" w:hAnsi="方正楷体_GBK" w:eastAsia="方正楷体_GBK" w:cs="方正楷体_GBK"/>
                <w:sz w:val="32"/>
                <w:szCs w:val="18"/>
                <w:lang w:val="en-US" w:eastAsia="zh-CN"/>
              </w:rPr>
              <w:t>（四）推动离岸贸易等新型贸易业态发展。</w:t>
            </w:r>
            <w:r>
              <w:rPr>
                <w:rFonts w:hint="default" w:ascii="Times New Roman" w:hAnsi="Times New Roman" w:eastAsia="仿宋_GB2312" w:cs="Times New Roman"/>
                <w:sz w:val="32"/>
                <w:szCs w:val="18"/>
                <w:lang w:val="en-US" w:eastAsia="zh-CN"/>
              </w:rPr>
              <w:t>天津自贸区学习上海经验，制定了《加快推进新型贸易业态发展的若干措施》，重点形成“跨境贸易业态自律机制企业名单”，并通过“滨海模式”落地实践。此外，在应用香港资本市场方面，截至2022年底，滨海新区于沪深港三地上市企业数共53家，其中康熙诺、凯莱英等本地行业龙头均A+H上市，在资本市场影响力不断增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二、在金融领域</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sz w:val="32"/>
                <w:szCs w:val="18"/>
                <w:lang w:val="en-US" w:eastAsia="zh-CN"/>
              </w:rPr>
            </w:pPr>
            <w:r>
              <w:rPr>
                <w:rFonts w:hint="default" w:ascii="方正楷体_GBK" w:hAnsi="方正楷体_GBK" w:eastAsia="方正楷体_GBK" w:cs="方正楷体_GBK"/>
                <w:sz w:val="32"/>
                <w:szCs w:val="18"/>
                <w:lang w:val="en-US" w:eastAsia="zh-CN"/>
              </w:rPr>
              <w:t>（一）关注重点企业，推动企业到港交所上市。</w:t>
            </w:r>
            <w:r>
              <w:rPr>
                <w:rFonts w:hint="default" w:ascii="Times New Roman" w:hAnsi="Times New Roman" w:eastAsia="仿宋_GB2312" w:cs="Times New Roman"/>
                <w:sz w:val="32"/>
                <w:szCs w:val="18"/>
                <w:lang w:val="en-US" w:eastAsia="zh-CN"/>
              </w:rPr>
              <w:t xml:space="preserve">研究制定上市企业三年倍增计划，创新挖掘手段，梳理港交所上市梯队名单，推进“三个一批”建设。发挥市区两级上市办工作机制，为快狗打车、瑞派宠物等重点拟上市企业协调服务。2022年，我市新增1家企业快狗打车成功登陆港交所，截至2022年末，我市境内外上市企业90家，其中港交所上市企业20家。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sz w:val="32"/>
                <w:szCs w:val="18"/>
                <w:lang w:val="en-US" w:eastAsia="zh-CN"/>
              </w:rPr>
            </w:pPr>
            <w:r>
              <w:rPr>
                <w:rFonts w:hint="default" w:ascii="方正楷体_GBK" w:hAnsi="方正楷体_GBK" w:eastAsia="方正楷体_GBK" w:cs="方正楷体_GBK"/>
                <w:sz w:val="32"/>
                <w:szCs w:val="18"/>
                <w:lang w:val="en-US" w:eastAsia="zh-CN"/>
              </w:rPr>
              <w:t>（二）支持推动海河产业基金发展。</w:t>
            </w:r>
            <w:r>
              <w:rPr>
                <w:rFonts w:hint="default" w:ascii="Times New Roman" w:hAnsi="Times New Roman" w:eastAsia="仿宋_GB2312" w:cs="Times New Roman"/>
                <w:sz w:val="32"/>
                <w:szCs w:val="18"/>
                <w:lang w:val="en-US" w:eastAsia="zh-CN"/>
              </w:rPr>
              <w:t xml:space="preserve">截至2022年末，海河产业基金累计签署55支母基金协议，认缴规模1294.66亿元，累计实缴624.1亿元，累计投资项目（含子基金）498个。服务北辰区等搭建区域战略新兴产业集群。助力康希诺等多家被投企业登陆资本市场。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sz w:val="32"/>
                <w:szCs w:val="18"/>
                <w:lang w:val="en-US" w:eastAsia="zh-CN"/>
              </w:rPr>
            </w:pPr>
            <w:r>
              <w:rPr>
                <w:rFonts w:hint="default" w:ascii="方正楷体_GBK" w:hAnsi="方正楷体_GBK" w:eastAsia="方正楷体_GBK" w:cs="方正楷体_GBK"/>
                <w:sz w:val="32"/>
                <w:szCs w:val="18"/>
                <w:lang w:val="en-US" w:eastAsia="zh-CN"/>
              </w:rPr>
              <w:t>（三）依托天津商业保理行业先行先试优势</w:t>
            </w:r>
            <w:r>
              <w:rPr>
                <w:rFonts w:hint="eastAsia" w:ascii="Times New Roman" w:hAnsi="Times New Roman" w:eastAsia="仿宋_GB2312" w:cs="Times New Roman"/>
                <w:sz w:val="32"/>
                <w:szCs w:val="18"/>
                <w:lang w:val="en-US" w:eastAsia="zh-CN"/>
              </w:rPr>
              <w:t>。</w:t>
            </w:r>
            <w:r>
              <w:rPr>
                <w:rFonts w:hint="default" w:ascii="Times New Roman" w:hAnsi="Times New Roman" w:eastAsia="仿宋_GB2312" w:cs="Times New Roman"/>
                <w:sz w:val="32"/>
                <w:szCs w:val="18"/>
                <w:lang w:val="en-US" w:eastAsia="zh-CN"/>
              </w:rPr>
              <w:t xml:space="preserve">积极研究拓展国际保理业务，拓宽行业融资渠道。2022年8月，我市盛业商业保理签署2年期5亿元人民币的ESG项下社会责任及可持续发展挂钩型银团贷款协议，本次银团贷款由永丰银行牵头，东亚银行联合牵头，为国内首笔“双重ESG架构”社会责任及可持续发展挂钩型银团贷款。一直以来，市金融局联合人行、外汇等多部门持续推进国际外币保理业务试点突破，已有多家企业提出实质性可操作性业务需求。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cs="Times New Roman"/>
                <w:sz w:val="32"/>
                <w:szCs w:val="32"/>
              </w:rPr>
            </w:pPr>
            <w:r>
              <w:rPr>
                <w:rFonts w:hint="default" w:ascii="方正楷体_GBK" w:hAnsi="方正楷体_GBK" w:eastAsia="方正楷体_GBK" w:cs="方正楷体_GBK"/>
                <w:kern w:val="2"/>
                <w:sz w:val="32"/>
                <w:szCs w:val="18"/>
                <w:lang w:val="en-US" w:eastAsia="zh-CN" w:bidi="ar-SA"/>
              </w:rPr>
              <w:t>（四）推动离岸和出口租赁业务做大做强。</w:t>
            </w:r>
            <w:r>
              <w:rPr>
                <w:rFonts w:hint="default" w:ascii="Times New Roman" w:hAnsi="Times New Roman" w:eastAsia="仿宋_GB2312" w:cs="Times New Roman"/>
                <w:kern w:val="2"/>
                <w:sz w:val="32"/>
                <w:szCs w:val="18"/>
                <w:lang w:val="en-US" w:eastAsia="zh-CN" w:bidi="ar-SA"/>
              </w:rPr>
              <w:t>2022年，东疆完成134艘船舶离岸租赁业务，船舶离岸租赁业务同比增长106%，截至年末累计完成311艘船舶离岸租赁业务，价值合计84.5亿美元，东疆正逐步成为全国船舶离岸租赁中心。</w:t>
            </w:r>
            <w:r>
              <w:rPr>
                <w:rFonts w:hint="default" w:ascii="Times New Roman" w:hAnsi="Times New Roman"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kern w:val="2"/>
                <w:sz w:val="32"/>
                <w:szCs w:val="18"/>
                <w:lang w:val="en-US" w:eastAsia="zh-CN" w:bidi="ar-SA"/>
              </w:rPr>
            </w:pPr>
            <w:r>
              <w:rPr>
                <w:rFonts w:hint="default" w:ascii="Times New Roman" w:hAnsi="Times New Roman" w:eastAsia="仿宋_GB2312" w:cs="Times New Roman"/>
                <w:sz w:val="32"/>
                <w:lang w:val="en-US" w:eastAsia="zh-CN"/>
              </w:rPr>
              <w:t>下一步，</w:t>
            </w:r>
            <w:r>
              <w:rPr>
                <w:rFonts w:hint="default" w:ascii="Times New Roman" w:hAnsi="Times New Roman" w:eastAsia="仿宋_GB2312" w:cs="Times New Roman"/>
                <w:b/>
                <w:bCs/>
                <w:sz w:val="32"/>
                <w:szCs w:val="18"/>
                <w:lang w:val="en-US" w:eastAsia="zh-CN"/>
              </w:rPr>
              <w:t>在自贸区建设方面：一是</w:t>
            </w:r>
            <w:r>
              <w:rPr>
                <w:rFonts w:hint="default" w:ascii="Times New Roman" w:hAnsi="Times New Roman" w:eastAsia="仿宋_GB2312" w:cs="Times New Roman"/>
                <w:sz w:val="32"/>
                <w:szCs w:val="18"/>
                <w:lang w:val="en-US" w:eastAsia="zh-CN"/>
              </w:rPr>
              <w:t>争取推动FT账户开户资格扩展至自贸区外符合一定条件的企业，同时争取FT账户展业银行增加</w:t>
            </w:r>
            <w:r>
              <w:rPr>
                <w:rFonts w:hint="eastAsia" w:ascii="Times New Roman" w:hAnsi="Times New Roman" w:eastAsia="仿宋_GB2312" w:cs="Times New Roman"/>
                <w:sz w:val="32"/>
                <w:szCs w:val="18"/>
                <w:lang w:val="en-US" w:eastAsia="zh-CN"/>
              </w:rPr>
              <w:t>；</w:t>
            </w:r>
            <w:r>
              <w:rPr>
                <w:rFonts w:hint="default" w:ascii="Times New Roman" w:hAnsi="Times New Roman" w:eastAsia="仿宋_GB2312" w:cs="Times New Roman"/>
                <w:b/>
                <w:bCs/>
                <w:sz w:val="32"/>
                <w:szCs w:val="18"/>
                <w:lang w:val="en-US" w:eastAsia="zh-CN"/>
              </w:rPr>
              <w:t>二是</w:t>
            </w:r>
            <w:r>
              <w:rPr>
                <w:rFonts w:hint="default" w:ascii="Times New Roman" w:hAnsi="Times New Roman" w:eastAsia="仿宋_GB2312" w:cs="Times New Roman"/>
                <w:sz w:val="32"/>
                <w:szCs w:val="18"/>
                <w:lang w:val="en-US" w:eastAsia="zh-CN"/>
              </w:rPr>
              <w:t>依托天津存量要素交易平台推进“非居民投资要素市场”政策落地</w:t>
            </w:r>
            <w:r>
              <w:rPr>
                <w:rFonts w:hint="eastAsia" w:ascii="Times New Roman" w:hAnsi="Times New Roman" w:eastAsia="仿宋_GB2312" w:cs="Times New Roman"/>
                <w:sz w:val="32"/>
                <w:szCs w:val="18"/>
                <w:lang w:val="en-US" w:eastAsia="zh-CN"/>
              </w:rPr>
              <w:t>；</w:t>
            </w:r>
            <w:r>
              <w:rPr>
                <w:rFonts w:hint="default" w:ascii="Times New Roman" w:hAnsi="Times New Roman" w:eastAsia="仿宋_GB2312" w:cs="Times New Roman"/>
                <w:b/>
                <w:bCs/>
                <w:sz w:val="32"/>
                <w:szCs w:val="18"/>
                <w:lang w:val="en-US" w:eastAsia="zh-CN"/>
              </w:rPr>
              <w:t>三是</w:t>
            </w:r>
            <w:r>
              <w:rPr>
                <w:rFonts w:hint="default" w:ascii="Times New Roman" w:hAnsi="Times New Roman" w:eastAsia="仿宋_GB2312" w:cs="Times New Roman"/>
                <w:sz w:val="32"/>
                <w:szCs w:val="18"/>
                <w:lang w:val="en-US" w:eastAsia="zh-CN"/>
              </w:rPr>
              <w:t>继续向上争取“信贷资产跨境转让”等高含金量外汇及跨境人民币政策</w:t>
            </w:r>
            <w:r>
              <w:rPr>
                <w:rFonts w:hint="eastAsia" w:ascii="Times New Roman" w:hAnsi="Times New Roman" w:eastAsia="仿宋_GB2312" w:cs="Times New Roman"/>
                <w:sz w:val="32"/>
                <w:szCs w:val="18"/>
                <w:lang w:val="en-US" w:eastAsia="zh-CN"/>
              </w:rPr>
              <w:t>；</w:t>
            </w:r>
            <w:r>
              <w:rPr>
                <w:rFonts w:hint="default" w:ascii="Times New Roman" w:hAnsi="Times New Roman" w:eastAsia="仿宋_GB2312" w:cs="Times New Roman"/>
                <w:b/>
                <w:bCs/>
                <w:sz w:val="32"/>
                <w:szCs w:val="18"/>
                <w:lang w:val="en-US" w:eastAsia="zh-CN"/>
              </w:rPr>
              <w:t>四是</w:t>
            </w:r>
            <w:r>
              <w:rPr>
                <w:rFonts w:hint="default" w:ascii="Times New Roman" w:hAnsi="Times New Roman" w:eastAsia="仿宋_GB2312" w:cs="Times New Roman"/>
                <w:sz w:val="32"/>
                <w:szCs w:val="18"/>
                <w:lang w:val="en-US" w:eastAsia="zh-CN"/>
              </w:rPr>
              <w:t>依托滨海基金小镇，争取S基金份额转让等创新政策，扩大资金退出渠道，优化天津基金行业发展生态</w:t>
            </w:r>
            <w:r>
              <w:rPr>
                <w:rFonts w:hint="eastAsia" w:ascii="Times New Roman" w:hAnsi="Times New Roman" w:eastAsia="仿宋_GB2312" w:cs="Times New Roman"/>
                <w:sz w:val="32"/>
                <w:szCs w:val="18"/>
                <w:lang w:val="en-US" w:eastAsia="zh-CN"/>
              </w:rPr>
              <w:t>；</w:t>
            </w:r>
            <w:r>
              <w:rPr>
                <w:rFonts w:hint="default" w:ascii="Times New Roman" w:hAnsi="Times New Roman" w:eastAsia="仿宋_GB2312" w:cs="Times New Roman"/>
                <w:b/>
                <w:bCs/>
                <w:sz w:val="32"/>
                <w:szCs w:val="18"/>
                <w:lang w:val="en-US" w:eastAsia="zh-CN"/>
              </w:rPr>
              <w:t>五是</w:t>
            </w:r>
            <w:r>
              <w:rPr>
                <w:rFonts w:hint="default" w:ascii="Times New Roman" w:hAnsi="Times New Roman" w:eastAsia="仿宋_GB2312" w:cs="Times New Roman"/>
                <w:sz w:val="32"/>
                <w:szCs w:val="18"/>
                <w:lang w:val="en-US" w:eastAsia="zh-CN"/>
              </w:rPr>
              <w:t>进一步加大海外资本市场利用力度，推动信创、生物医药、新能源、融资租赁、商业保理等各类战略新兴及特色产业龙头企业赴港上市或发行债券进行融资。</w:t>
            </w:r>
            <w:r>
              <w:rPr>
                <w:rFonts w:hint="default" w:ascii="Times New Roman" w:hAnsi="Times New Roman" w:eastAsia="仿宋_GB2312" w:cs="Times New Roman"/>
                <w:b/>
                <w:bCs/>
                <w:sz w:val="32"/>
                <w:szCs w:val="18"/>
                <w:lang w:val="en-US" w:eastAsia="zh-CN"/>
              </w:rPr>
              <w:t>在金融发展方面</w:t>
            </w:r>
            <w:r>
              <w:rPr>
                <w:rFonts w:hint="default" w:ascii="Times New Roman" w:hAnsi="Times New Roman" w:cs="Times New Roman"/>
                <w:b/>
                <w:bCs/>
                <w:sz w:val="32"/>
                <w:szCs w:val="32"/>
              </w:rPr>
              <w:t>：</w:t>
            </w:r>
            <w:r>
              <w:rPr>
                <w:rFonts w:hint="default" w:ascii="Times New Roman" w:hAnsi="Times New Roman" w:eastAsia="仿宋_GB2312" w:cs="Times New Roman"/>
                <w:b/>
                <w:bCs/>
                <w:kern w:val="2"/>
                <w:sz w:val="32"/>
                <w:szCs w:val="18"/>
                <w:lang w:val="en-US" w:eastAsia="zh-CN" w:bidi="ar-SA"/>
              </w:rPr>
              <w:t>一是</w:t>
            </w:r>
            <w:r>
              <w:rPr>
                <w:rFonts w:hint="default" w:ascii="Times New Roman" w:hAnsi="Times New Roman" w:eastAsia="仿宋_GB2312" w:cs="Times New Roman"/>
                <w:kern w:val="2"/>
                <w:sz w:val="32"/>
                <w:szCs w:val="18"/>
                <w:lang w:val="en-US" w:eastAsia="zh-CN" w:bidi="ar-SA"/>
              </w:rPr>
              <w:t>推动落实上市企业三年倍增行动计划，会同相关部门，推动“三个一批”上市后备梯队建设，做好企业培育服务，鼓励符合条件的优质企业在香港资本市场上市、发行债券</w:t>
            </w:r>
            <w:r>
              <w:rPr>
                <w:rFonts w:hint="eastAsia" w:ascii="Times New Roman" w:hAnsi="Times New Roman" w:eastAsia="仿宋_GB2312" w:cs="Times New Roman"/>
                <w:kern w:val="2"/>
                <w:sz w:val="32"/>
                <w:szCs w:val="18"/>
                <w:lang w:val="en-US" w:eastAsia="zh-CN" w:bidi="ar-SA"/>
              </w:rPr>
              <w:t>；</w:t>
            </w:r>
            <w:r>
              <w:rPr>
                <w:rFonts w:hint="default" w:ascii="Times New Roman" w:hAnsi="Times New Roman" w:eastAsia="仿宋_GB2312" w:cs="Times New Roman"/>
                <w:b/>
                <w:bCs/>
                <w:kern w:val="2"/>
                <w:sz w:val="32"/>
                <w:szCs w:val="18"/>
                <w:lang w:val="en-US" w:eastAsia="zh-CN" w:bidi="ar-SA"/>
              </w:rPr>
              <w:t>二是</w:t>
            </w:r>
            <w:r>
              <w:rPr>
                <w:rFonts w:hint="default" w:ascii="Times New Roman" w:hAnsi="Times New Roman" w:eastAsia="仿宋_GB2312" w:cs="Times New Roman"/>
                <w:kern w:val="2"/>
                <w:sz w:val="32"/>
                <w:szCs w:val="18"/>
                <w:lang w:val="en-US" w:eastAsia="zh-CN" w:bidi="ar-SA"/>
              </w:rPr>
              <w:t>鼓励股权投资基金等投资机构“投早、投小、投科技”</w:t>
            </w:r>
            <w:r>
              <w:rPr>
                <w:rFonts w:hint="eastAsia" w:ascii="Times New Roman" w:hAnsi="Times New Roman" w:eastAsia="仿宋_GB2312" w:cs="Times New Roman"/>
                <w:kern w:val="2"/>
                <w:sz w:val="32"/>
                <w:szCs w:val="18"/>
                <w:lang w:val="en-US" w:eastAsia="zh-CN" w:bidi="ar-SA"/>
              </w:rPr>
              <w:t>，</w:t>
            </w:r>
            <w:r>
              <w:rPr>
                <w:rFonts w:hint="default" w:ascii="Times New Roman" w:hAnsi="Times New Roman" w:eastAsia="仿宋_GB2312" w:cs="Times New Roman"/>
                <w:kern w:val="2"/>
                <w:sz w:val="32"/>
                <w:szCs w:val="18"/>
                <w:lang w:val="en-US" w:eastAsia="zh-CN" w:bidi="ar-SA"/>
              </w:rPr>
              <w:t>做好海河产业基金管委会政策审查委员会牵头单位工作，引导海河产业基金投向重点项目和产业链</w:t>
            </w:r>
            <w:r>
              <w:rPr>
                <w:rFonts w:hint="eastAsia" w:ascii="Times New Roman" w:hAnsi="Times New Roman" w:eastAsia="仿宋_GB2312" w:cs="Times New Roman"/>
                <w:kern w:val="2"/>
                <w:sz w:val="32"/>
                <w:szCs w:val="18"/>
                <w:lang w:val="en-US" w:eastAsia="zh-CN" w:bidi="ar-SA"/>
              </w:rPr>
              <w:t>；</w:t>
            </w:r>
            <w:r>
              <w:rPr>
                <w:rFonts w:hint="default" w:ascii="Times New Roman" w:hAnsi="Times New Roman" w:eastAsia="仿宋_GB2312" w:cs="Times New Roman"/>
                <w:b/>
                <w:bCs/>
                <w:kern w:val="2"/>
                <w:sz w:val="32"/>
                <w:szCs w:val="18"/>
                <w:lang w:val="en-US" w:eastAsia="zh-CN" w:bidi="ar-SA"/>
              </w:rPr>
              <w:t>三是</w:t>
            </w:r>
            <w:r>
              <w:rPr>
                <w:rFonts w:hint="default" w:ascii="Times New Roman" w:hAnsi="Times New Roman" w:eastAsia="仿宋_GB2312" w:cs="Times New Roman"/>
                <w:kern w:val="2"/>
                <w:sz w:val="32"/>
                <w:szCs w:val="18"/>
                <w:lang w:val="en-US" w:eastAsia="zh-CN" w:bidi="ar-SA"/>
              </w:rPr>
              <w:t>加大宣传，发挥上市企业龙头聚集作用、融资租赁和商业保理的行业优势，以及“一基地三区”建设契机，优化营商环境和投资环境，推动金融服务制造业和重点产业链。</w:t>
            </w:r>
          </w:p>
          <w:p>
            <w:pPr>
              <w:spacing w:line="560" w:lineRule="exact"/>
              <w:ind w:left="0" w:leftChars="0" w:right="105" w:rightChars="50" w:firstLine="640" w:firstLineChars="200"/>
              <w:rPr>
                <w:rFonts w:hint="default" w:eastAsia="仿宋_GB2312"/>
                <w:sz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2023年4月7日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r>
              <w:rPr>
                <w:rFonts w:hint="eastAsia" w:ascii="仿宋_GB2312" w:eastAsia="仿宋_GB2312"/>
                <w:sz w:val="32"/>
                <w:szCs w:val="18"/>
                <w:lang w:val="en-US" w:eastAsia="zh-CN"/>
              </w:rPr>
              <w:t>并附联名人：刘婷</w:t>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eastAsia="zh-CN"/>
              </w:rPr>
              <w:t>赵岩</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val="en-US" w:eastAsia="zh-CN"/>
              </w:rPr>
              <w:t>58368813</w:t>
            </w:r>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447E3320"/>
    <w:rsid w:val="45CB5298"/>
    <w:rsid w:val="46AB4259"/>
    <w:rsid w:val="4B30475B"/>
    <w:rsid w:val="4CA33CB0"/>
    <w:rsid w:val="4D14258D"/>
    <w:rsid w:val="57073EC0"/>
    <w:rsid w:val="59C6063C"/>
    <w:rsid w:val="63E612D4"/>
    <w:rsid w:val="693053CC"/>
    <w:rsid w:val="6AB50BAB"/>
    <w:rsid w:val="6CA056C1"/>
    <w:rsid w:val="6D957ABF"/>
    <w:rsid w:val="7312333B"/>
    <w:rsid w:val="75561D3A"/>
    <w:rsid w:val="7952225A"/>
    <w:rsid w:val="7D174045"/>
    <w:rsid w:val="7D906DB7"/>
    <w:rsid w:val="7E674295"/>
    <w:rsid w:val="F7FF3DB3"/>
    <w:rsid w:val="FBFC3FE9"/>
    <w:rsid w:val="FFFFE3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Body Text"/>
    <w:basedOn w:val="1"/>
    <w:semiHidden/>
    <w:qFormat/>
    <w:uiPriority w:val="0"/>
    <w:pPr>
      <w:jc w:val="center"/>
    </w:pPr>
    <w:rPr>
      <w:rFonts w:ascii="宋体"/>
      <w:b/>
      <w:bCs/>
      <w:sz w:val="44"/>
    </w:rPr>
  </w:style>
  <w:style w:type="paragraph" w:styleId="4">
    <w:name w:val="Date"/>
    <w:basedOn w:val="1"/>
    <w:next w:val="1"/>
    <w:semiHidden/>
    <w:qFormat/>
    <w:uiPriority w:val="0"/>
    <w:pPr>
      <w:ind w:left="100" w:leftChars="2500"/>
    </w:pPr>
    <w:rPr>
      <w:rFonts w:ascii="仿宋_GB2312" w:eastAsia="仿宋_GB2312"/>
      <w:sz w:val="32"/>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character" w:customStyle="1" w:styleId="10">
    <w:name w:val=" Char Char1"/>
    <w:basedOn w:val="8"/>
    <w:link w:val="5"/>
    <w:semiHidden/>
    <w:qFormat/>
    <w:uiPriority w:val="99"/>
    <w:rPr>
      <w:kern w:val="2"/>
      <w:sz w:val="18"/>
      <w:szCs w:val="18"/>
    </w:rPr>
  </w:style>
  <w:style w:type="character" w:customStyle="1" w:styleId="11">
    <w:name w:val=" Char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1</TotalTime>
  <ScaleCrop>false</ScaleCrop>
  <LinksUpToDate>false</LinksUpToDate>
  <CharactersWithSpaces>2285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2021-04-07T11:49:00Z</dcterms:created>
  <dc:creator>wjc</dc:creator>
  <cp:lastModifiedBy>市外办</cp:lastModifiedBy>
  <dcterms:modified xsi:type="dcterms:W3CDTF">2023-05-04T15:21:27Z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