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color w:val="FF0000"/>
          <w:sz w:val="84"/>
          <w:lang w:val="en-US" w:eastAsia="zh-CN"/>
        </w:rPr>
      </w:pPr>
      <w:bookmarkStart w:id="0" w:name="dw"/>
      <w:r>
        <w:rPr>
          <w:rFonts w:hint="eastAsia" w:ascii="华文中宋" w:hAnsi="华文中宋" w:eastAsia="华文中宋"/>
          <w:b/>
          <w:bCs/>
          <w:color w:val="FF0000"/>
          <w:sz w:val="84"/>
          <w:lang w:val="en-US" w:eastAsia="zh-CN"/>
        </w:rPr>
        <w:t>天津市人民政府港澳</w:t>
      </w:r>
    </w:p>
    <w:p>
      <w:pPr>
        <w:jc w:val="center"/>
        <w:rPr>
          <w:rFonts w:hint="default" w:ascii="华文中宋" w:hAnsi="华文中宋" w:eastAsia="华文中宋"/>
          <w:b/>
          <w:bCs/>
          <w:color w:val="FF0000"/>
          <w:sz w:val="84"/>
          <w:lang w:val="en-US"/>
        </w:rPr>
      </w:pPr>
      <w:r>
        <w:rPr>
          <w:rFonts w:hint="eastAsia" w:ascii="华文中宋" w:hAnsi="华文中宋" w:eastAsia="华文中宋"/>
          <w:b/>
          <w:bCs/>
          <w:color w:val="FF0000"/>
          <w:sz w:val="84"/>
          <w:lang w:val="en-US" w:eastAsia="zh-CN"/>
        </w:rPr>
        <w:t>工作办公室</w:t>
      </w:r>
      <w:bookmarkEnd w:id="0"/>
    </w:p>
    <w:p>
      <w:pPr>
        <w:spacing w:line="360" w:lineRule="exact"/>
        <w:rPr>
          <w:rFonts w:hint="eastAsia" w:ascii="仿宋_GB2312" w:hAnsi="宋体" w:eastAsia="仿宋_GB2312"/>
          <w:sz w:val="30"/>
        </w:rPr>
      </w:pPr>
    </w:p>
    <w:p>
      <w:pPr>
        <w:rPr>
          <w:rFonts w:hint="eastAsia" w:ascii="仿宋_GB2312" w:hAnsi="宋体" w:eastAsia="仿宋_GB2312"/>
          <w:sz w:val="13"/>
          <w:szCs w:val="13"/>
        </w:rPr>
      </w:pPr>
      <w:r>
        <w:rPr>
          <w:rFonts w:ascii="仿宋_GB2312" w:hAnsi="宋体" w:eastAsia="仿宋_GB2312"/>
          <w:sz w:val="13"/>
          <w:szCs w:val="13"/>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Square wrapText="bothSides"/>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0pt;height:0pt;width:441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bl9r7QAAAAAgEAAA8A&#10;AAAAAAAAAQAgAAAAOAAAAGRycy9kb3ducmV2LnhtbFBLAQIUABQAAAAIAIdO4kCUUOwp0AEAAJAD&#10;AAAOAAAAAAAAAAEAIAAAADUBAABkcnMvZTJvRG9jLnhtbFBLBQYAAAAABgAGAFkBAAB3BQAAAAA=&#10;">
                <v:fill on="f" focussize="0,0"/>
                <v:stroke color="#FF0000" joinstyle="round"/>
                <v:imagedata o:title=""/>
                <o:lock v:ext="edit" aspectratio="f"/>
                <w10:wrap type="square"/>
              </v:line>
            </w:pict>
          </mc:Fallback>
        </mc:AlternateContent>
      </w:r>
    </w:p>
    <w:tbl>
      <w:tblPr>
        <w:tblStyle w:val="10"/>
        <w:tblW w:w="935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8"/>
        <w:gridCol w:w="2762"/>
        <w:gridCol w:w="1272"/>
        <w:gridCol w:w="556"/>
        <w:gridCol w:w="1246"/>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jc w:val="center"/>
              <w:rPr>
                <w:rFonts w:hint="default" w:ascii="Times New Roman" w:hAnsi="Times New Roman" w:eastAsia="宋体" w:cs="Times New Roman"/>
                <w:b/>
                <w:bCs/>
                <w:sz w:val="44"/>
                <w:lang w:val="en-US" w:eastAsia="zh-CN"/>
              </w:rPr>
            </w:pPr>
            <w:bookmarkStart w:id="1" w:name="bt"/>
            <w:r>
              <w:rPr>
                <w:rFonts w:hint="default" w:ascii="Times New Roman" w:hAnsi="Times New Roman" w:cs="Times New Roman"/>
                <w:b/>
                <w:bCs/>
                <w:sz w:val="44"/>
                <w:lang w:val="en-US" w:eastAsia="zh-CN"/>
              </w:rPr>
              <w:t>对市政协第十五届二次会议</w:t>
            </w:r>
            <w:r>
              <w:rPr>
                <w:rFonts w:hint="default" w:ascii="Times New Roman" w:hAnsi="Times New Roman" w:cs="Times New Roman"/>
                <w:b/>
                <w:bCs/>
                <w:sz w:val="44"/>
                <w:lang w:val="en-US" w:eastAsia="zh-CN"/>
              </w:rPr>
              <w:br w:type="textWrapping"/>
            </w:r>
            <w:r>
              <w:rPr>
                <w:rFonts w:hint="default" w:ascii="Times New Roman" w:hAnsi="Times New Roman" w:cs="Times New Roman"/>
                <w:b/>
                <w:bCs/>
                <w:sz w:val="44"/>
                <w:lang w:val="en-US" w:eastAsia="zh-CN"/>
              </w:rPr>
              <w:t>第</w:t>
            </w:r>
            <w:r>
              <w:rPr>
                <w:rFonts w:hint="default" w:ascii="Times New Roman" w:hAnsi="Times New Roman" w:cs="Times New Roman"/>
                <w:b/>
                <w:bCs/>
                <w:sz w:val="44"/>
                <w:lang w:val="en" w:eastAsia="zh-CN"/>
              </w:rPr>
              <w:t>0</w:t>
            </w:r>
            <w:r>
              <w:rPr>
                <w:rFonts w:hint="default" w:ascii="Times New Roman" w:hAnsi="Times New Roman" w:cs="Times New Roman"/>
                <w:b/>
                <w:bCs/>
                <w:sz w:val="44"/>
                <w:lang w:val="en-US" w:eastAsia="zh-CN"/>
              </w:rPr>
              <w:t>122号提案的办理答复</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类别：</w:t>
            </w:r>
          </w:p>
        </w:tc>
        <w:sdt>
          <w:sdtPr>
            <w:rPr>
              <w:rFonts w:hint="default" w:ascii="Times New Roman" w:hAnsi="Times New Roman" w:eastAsia="仿宋_GB2312" w:cs="Times New Roman"/>
              <w:kern w:val="2"/>
              <w:sz w:val="32"/>
              <w:lang w:val="en-US" w:eastAsia="zh-CN" w:bidi="ar-SA"/>
            </w:rPr>
            <w:id w:val="147470906"/>
            <w:placeholder>
              <w:docPart w:val="{fbbf2bac-2777-48b9-8fe3-c7d0d6fb2e8a}"/>
            </w:placeholder>
            <w:dropDownList>
              <w:listItem w:displayText="选择一项。" w:value="选择一项。"/>
              <w:listItem w:displayText="A" w:value="A"/>
              <w:listItem w:displayText="B" w:value="B"/>
              <w:listItem w:displayText="C" w:value="C"/>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A</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签发领导：</w:t>
            </w:r>
          </w:p>
        </w:tc>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栾建章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公开属性：</w:t>
            </w:r>
          </w:p>
        </w:tc>
        <w:sdt>
          <w:sdtPr>
            <w:rPr>
              <w:rFonts w:hint="default" w:ascii="Times New Roman" w:hAnsi="Times New Roman" w:eastAsia="仿宋_GB2312" w:cs="Times New Roman"/>
              <w:kern w:val="2"/>
              <w:sz w:val="32"/>
              <w:lang w:val="en-US" w:eastAsia="zh-CN" w:bidi="ar-SA"/>
            </w:rPr>
            <w:id w:val="147470560"/>
            <w:placeholder>
              <w:docPart w:val="{5664cb10-74fb-4547-88a8-b8c5d4df73ec}"/>
            </w:placeholder>
            <w:dropDownList>
              <w:listItem w:displayText="选择一项。" w:value="选择一项。"/>
              <w:listItem w:displayText="是" w:value="是"/>
              <w:listItem w:displayText="否" w:value="否"/>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是</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庄家彬</w:t>
            </w:r>
            <w:r>
              <w:rPr>
                <w:rFonts w:hint="default" w:ascii="Times New Roman" w:hAnsi="Times New Roman" w:eastAsia="仿宋_GB2312" w:cs="Times New Roman"/>
                <w:sz w:val="32"/>
                <w:lang w:eastAsia="zh-CN"/>
              </w:rPr>
              <w:t>委员</w:t>
            </w:r>
            <w:r>
              <w:rPr>
                <w:rFonts w:hint="default" w:ascii="Times New Roman" w:hAnsi="Times New Roman" w:eastAsia="仿宋_GB2312" w:cs="Times New Roman"/>
                <w:sz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szCs w:val="18"/>
              </w:rPr>
              <w:t>　　</w:t>
            </w:r>
            <w:bookmarkStart w:id="2" w:name="shuo"/>
            <w:r>
              <w:rPr>
                <w:rFonts w:hint="default" w:ascii="Times New Roman" w:hAnsi="Times New Roman" w:eastAsia="仿宋_GB2312" w:cs="Times New Roman"/>
                <w:sz w:val="32"/>
                <w:szCs w:val="18"/>
                <w:lang w:val="en-US" w:eastAsia="zh-CN"/>
              </w:rPr>
              <w:t>您提出的关于以创新科技推动津港青年高质量交流的提案，经会同市工业和信息化局、市科技局、市人力社保局、市教委研究答复如下</w:t>
            </w:r>
            <w:bookmarkEnd w:id="2"/>
            <w:r>
              <w:rPr>
                <w:rFonts w:hint="default" w:ascii="Times New Roman" w:hAnsi="Times New Roman" w:eastAsia="仿宋_GB2312" w:cs="Times New Roman"/>
                <w:sz w:val="32"/>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5000" w:type="pct"/>
            <w:gridSpan w:val="6"/>
            <w:tcBorders>
              <w:tl2br w:val="nil"/>
              <w:tr2bl w:val="nil"/>
            </w:tcBorders>
            <w:noWrap w:val="0"/>
            <w:vAlign w:val="top"/>
          </w:tcPr>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一、加快实施科教兴市人才强市行动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近年来，我市坚持教育优先发展、科技自立自强、人才引领驱动，</w:t>
            </w:r>
            <w:r>
              <w:rPr>
                <w:rFonts w:hint="default" w:ascii="Times New Roman" w:hAnsi="Times New Roman" w:eastAsia="仿宋_GB2312" w:cs="Times New Roman"/>
                <w:kern w:val="2"/>
                <w:sz w:val="32"/>
                <w:szCs w:val="32"/>
                <w:u w:val="none"/>
                <w:lang w:val="en-US" w:eastAsia="zh-CN" w:bidi="ar-SA"/>
              </w:rPr>
              <w:t>大力实施科教兴市人才强市行动，统筹推进重大创新平台建设、关键技术攻关、科技成果转化、科技型企业培育等工作。全国重点实验室数量、技术合同成交额、国家高新技术企业数量等实现明显增长。高标准打造天开高教科创园，形成69平方公里“一核两翼”发展格局，教育、科技、人才资源“聚宝盆”正在成为高质量发展“动力源”，</w:t>
            </w:r>
            <w:r>
              <w:rPr>
                <w:rFonts w:hint="default" w:ascii="Times New Roman" w:hAnsi="Times New Roman" w:eastAsia="仿宋_GB2312" w:cs="Times New Roman"/>
                <w:snapToGrid w:val="0"/>
                <w:kern w:val="0"/>
                <w:sz w:val="32"/>
                <w:szCs w:val="32"/>
                <w:lang w:val="en-US" w:eastAsia="zh-CN"/>
              </w:rPr>
              <w:t>为津港青年以科技创新为载体加强交流合作提供了有力的政策和环境支撑。</w:t>
            </w:r>
            <w:r>
              <w:rPr>
                <w:rFonts w:hint="default" w:ascii="Times New Roman" w:hAnsi="Times New Roman" w:eastAsia="仿宋_GB2312" w:cs="Times New Roman"/>
                <w:sz w:val="32"/>
                <w:szCs w:val="32"/>
                <w:u w:val="none"/>
                <w:lang w:val="en-US" w:eastAsia="zh-CN"/>
              </w:rPr>
              <w:t>正如您指出：天津与京冀联合绘制氢能、生物医药、网络安全和工业互联网、高端工业母机、新能源与智能网联汽车、机器人等6条跨区域产业链图谱，高标准建设15家全国重点实验室，京津冀国家技术创新中心与南开大学、清华高端院等共建8个创新平台。近年来，天津市着力推动京津冀协同创新发展，加快构建“北京研发、天津制造”创新转化格局，协同打造战略科技力量，为当前推进粤港澳大湾区建设提供了有益的经验。</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仿宋_GB2312" w:cs="Times New Roman"/>
                <w:b w:val="0"/>
                <w:bCs w:val="0"/>
                <w:kern w:val="2"/>
                <w:sz w:val="32"/>
                <w:szCs w:val="32"/>
                <w:u w:val="none"/>
                <w:lang w:val="en-US" w:eastAsia="zh-CN" w:bidi="ar-SA"/>
              </w:rPr>
              <w:t>下一步，我市将以天开高教科创园建设为契机，大力加强与香港方面的科技务实合作。面向香港大力宣介天开高教科创园建设新思路、新举措，并广泛对接两地科技园区、高等院校、科研院所、科技企业及投资机构，洽谈合作事宜，促进津港青年科技人才和团队高质量交流。</w:t>
            </w:r>
          </w:p>
          <w:p>
            <w:pPr>
              <w:keepNext w:val="0"/>
              <w:keepLines w:val="0"/>
              <w:pageBreakBefore w:val="0"/>
              <w:widowControl/>
              <w:numPr>
                <w:ilvl w:val="0"/>
                <w:numId w:val="2"/>
              </w:numPr>
              <w:kinsoku/>
              <w:wordWrap/>
              <w:overflowPunct/>
              <w:topLinePunct w:val="0"/>
              <w:autoSpaceDE/>
              <w:autoSpaceDN/>
              <w:bidi w:val="0"/>
              <w:adjustRightInd w:val="0"/>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加速</w:t>
            </w:r>
            <w:r>
              <w:rPr>
                <w:rFonts w:hint="default" w:ascii="Times New Roman" w:hAnsi="Times New Roman" w:eastAsia="黑体" w:cs="Times New Roman"/>
                <w:sz w:val="32"/>
                <w:szCs w:val="32"/>
                <w:lang w:val="en-US" w:eastAsia="zh-CN"/>
              </w:rPr>
              <w:t>推进</w:t>
            </w:r>
            <w:r>
              <w:rPr>
                <w:rFonts w:hint="default" w:ascii="Times New Roman" w:hAnsi="Times New Roman" w:eastAsia="黑体" w:cs="Times New Roman"/>
                <w:sz w:val="32"/>
                <w:szCs w:val="32"/>
                <w:lang w:eastAsia="zh-CN"/>
              </w:rPr>
              <w:t>科技</w:t>
            </w:r>
            <w:r>
              <w:rPr>
                <w:rFonts w:hint="default" w:ascii="Times New Roman" w:hAnsi="Times New Roman" w:eastAsia="黑体" w:cs="Times New Roman"/>
                <w:sz w:val="32"/>
                <w:szCs w:val="32"/>
                <w:lang w:val="en-US" w:eastAsia="zh-CN"/>
              </w:rPr>
              <w:t>成果产业化</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一是加强高校科技成果推介。</w:t>
            </w:r>
            <w:r>
              <w:rPr>
                <w:rFonts w:hint="default" w:ascii="Times New Roman" w:hAnsi="Times New Roman" w:eastAsia="仿宋_GB2312" w:cs="Times New Roman"/>
                <w:sz w:val="32"/>
                <w:szCs w:val="32"/>
                <w:highlight w:val="none"/>
                <w:lang w:val="en-US" w:eastAsia="zh-CN"/>
              </w:rPr>
              <w:t>建立包括产业链企业微信群、两微一端等载体的传播矩阵，面向企业加大高校科技成果宣传力度，同时配合市级有关部门积极组织企业参加高校科技成果路演活动，不断拓展企业受众广度和深度。</w:t>
            </w:r>
          </w:p>
          <w:p>
            <w:pPr>
              <w:keepNext w:val="0"/>
              <w:keepLines w:val="0"/>
              <w:pageBreakBefore w:val="0"/>
              <w:widowControl w:val="0"/>
              <w:kinsoku/>
              <w:overflowPunct/>
              <w:topLinePunct w:val="0"/>
              <w:bidi w:val="0"/>
              <w:spacing w:beforeAutospacing="0" w:afterAutospacing="0" w:line="560" w:lineRule="exact"/>
              <w:ind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二是深化产学研需求对接。</w:t>
            </w:r>
            <w:r>
              <w:rPr>
                <w:rFonts w:hint="default" w:ascii="Times New Roman" w:hAnsi="Times New Roman" w:eastAsia="仿宋_GB2312" w:cs="Times New Roman"/>
                <w:sz w:val="32"/>
                <w:szCs w:val="32"/>
                <w:highlight w:val="none"/>
                <w:lang w:val="en-US" w:eastAsia="zh-CN"/>
              </w:rPr>
              <w:t>基于技术创新信息系统，上线产学研对接功能，引导高校专家团队进驻，打造校企技术信息交流对接平台。同时，从企业技术中心、专精特新企业、产业链企业三个条线，宣传引导企业用好“天津科技成果网”专业技术交易平台，积极通过科研众包模式解决企业技术难题。</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方正楷体_GBK" w:cs="Times New Roman"/>
                <w:b w:val="0"/>
                <w:bCs w:val="0"/>
                <w:sz w:val="32"/>
                <w:szCs w:val="32"/>
                <w:highlight w:val="none"/>
                <w:lang w:val="en-US" w:eastAsia="zh-CN"/>
              </w:rPr>
              <w:t>三是推进技术协同创新体系建设。</w:t>
            </w:r>
            <w:r>
              <w:rPr>
                <w:rFonts w:hint="default" w:ascii="Times New Roman" w:hAnsi="Times New Roman" w:eastAsia="仿宋_GB2312" w:cs="Times New Roman"/>
                <w:b w:val="0"/>
                <w:bCs w:val="0"/>
                <w:sz w:val="32"/>
                <w:szCs w:val="32"/>
                <w:highlight w:val="none"/>
                <w:lang w:val="en-US" w:eastAsia="zh-CN"/>
              </w:rPr>
              <w:t>完善企业技术中心考核指标，加强产学研导向引领，推动企业技术中心成为企业</w:t>
            </w:r>
            <w:r>
              <w:rPr>
                <w:rFonts w:hint="default" w:ascii="Times New Roman" w:hAnsi="Times New Roman" w:eastAsia="仿宋_GB2312" w:cs="Times New Roman"/>
                <w:sz w:val="32"/>
                <w:szCs w:val="32"/>
                <w:highlight w:val="none"/>
                <w:lang w:val="en-US" w:eastAsia="zh-CN"/>
              </w:rPr>
              <w:t>产学研协同创新策源地。梳理遴选我市优势领域、龙头企业和高校院所，梯次培育一批市级制造业创新中心，强化“公司+联盟”运行模式，加强技术研发转化，带动辐射领域内更多企业。</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b w:val="0"/>
                <w:bCs w:val="0"/>
                <w:sz w:val="32"/>
                <w:szCs w:val="32"/>
                <w:highlight w:val="none"/>
                <w:lang w:val="en-US" w:eastAsia="zh-CN"/>
              </w:rPr>
              <w:t>四是完善支持企业技术创新有关政策。</w:t>
            </w:r>
            <w:r>
              <w:rPr>
                <w:rFonts w:hint="default" w:ascii="Times New Roman" w:hAnsi="Times New Roman" w:eastAsia="仿宋_GB2312" w:cs="Times New Roman"/>
                <w:b w:val="0"/>
                <w:bCs w:val="0"/>
                <w:sz w:val="32"/>
                <w:szCs w:val="32"/>
                <w:highlight w:val="none"/>
                <w:lang w:val="en-US" w:eastAsia="zh-CN"/>
              </w:rPr>
              <w:t>研究完善</w:t>
            </w:r>
            <w:r>
              <w:rPr>
                <w:rFonts w:hint="default" w:ascii="Times New Roman" w:hAnsi="Times New Roman" w:eastAsia="仿宋_GB2312" w:cs="Times New Roman"/>
                <w:kern w:val="2"/>
                <w:sz w:val="32"/>
                <w:szCs w:val="32"/>
                <w:lang w:val="en-US" w:eastAsia="zh-CN" w:bidi="ar-SA"/>
              </w:rPr>
              <w:t>造业立市政策，引导支持企业发挥创新主体作用。针对关键技术突破，制定支持利用揭榜制开展卡点技术攻关政策，鼓励企业牵头开展联合攻关；针对企业创新成果转化，提出首台套、首批次、首版次等新产品推广应用政策，</w:t>
            </w:r>
            <w:r>
              <w:rPr>
                <w:rFonts w:hint="default" w:ascii="Times New Roman" w:hAnsi="Times New Roman" w:eastAsia="仿宋_GB2312" w:cs="Times New Roman"/>
                <w:sz w:val="32"/>
                <w:szCs w:val="32"/>
                <w:lang w:val="en-US" w:eastAsia="zh-CN"/>
              </w:rPr>
              <w:t>加快新产品、新技术实现规模化生产和应用。</w:t>
            </w:r>
          </w:p>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三、全力推动海内外人才引育</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我市颁布《天津人才发展促进条例》，制定出台《关于深入落实科教兴市人才强市行动加快引进优秀人才来津创新创业的若干措施》，围绕支持重点产业链发展和天开高教科创园建设，提出10项具体措施。升级加力“海河英才”行动计划，累计引进人才47.4万人，平均年龄32岁，战略性新兴产业领域人才占比26%。</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一是加强博士后工作平台建设，招揽海内外优秀人才。</w:t>
            </w:r>
            <w:r>
              <w:rPr>
                <w:rFonts w:hint="default" w:ascii="Times New Roman" w:hAnsi="Times New Roman" w:eastAsia="仿宋_GB2312" w:cs="Times New Roman"/>
                <w:kern w:val="2"/>
                <w:sz w:val="32"/>
                <w:szCs w:val="32"/>
                <w:lang w:val="en-US" w:eastAsia="zh-CN" w:bidi="ar-SA"/>
              </w:rPr>
              <w:t>2023年我市新增博士后工作平台65个，其中新增22个博士后科研流动站，获历史性突破，入选率位居全国前列，累计全市博士科研流动站110个、工作站343个、创新实践基地110个。全年新招博士后655人，累计招收博士后7600余人，出站博士后留津工作比例超过60%。</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二是创新博士后培养方式，吸引人才来津。2</w:t>
            </w:r>
            <w:r>
              <w:rPr>
                <w:rFonts w:hint="default" w:ascii="Times New Roman" w:hAnsi="Times New Roman" w:eastAsia="仿宋_GB2312" w:cs="Times New Roman"/>
                <w:kern w:val="2"/>
                <w:sz w:val="32"/>
                <w:szCs w:val="32"/>
                <w:lang w:val="en-US" w:eastAsia="zh-CN" w:bidi="ar-SA"/>
              </w:rPr>
              <w:t>023年中国博士后科学基金会与天津市人民政府创新设立中国博士后科学基金会与天津市联合资助项目，旨在瞄准国家及我市重大战略、战略性高新技术和基础科学前沿领域，遴选一批海内外优秀博士，进入我市博士后设站单位从事博士后研究工作。第一批项目共有来自海内外知名院校的314名青年博士踊跃申报，其中215人来自伦敦大学学院、多伦多大学等世界排名靠前的境外高校、国内“双一流”高校和国家级研究机构，平均年龄31.5岁，最终选拔出30位优秀青年人才入选项目。</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三是落实引进青年人才新政策。</w:t>
            </w:r>
            <w:r>
              <w:rPr>
                <w:rFonts w:hint="default" w:ascii="Times New Roman" w:hAnsi="Times New Roman" w:eastAsia="仿宋_GB2312" w:cs="Times New Roman"/>
                <w:kern w:val="2"/>
                <w:sz w:val="32"/>
                <w:szCs w:val="32"/>
                <w:lang w:val="en-US" w:eastAsia="zh-CN" w:bidi="ar-SA"/>
              </w:rPr>
              <w:t>积极落实市委人才办制定印发的《天津市引进青年人才项目实施办法》，创新设立博士后创新岗位，衔接国家博士后重点资助项目，每年遴选100名优秀博士后，给予三年20万资助，出站后留津工作的博士后给予最高三年30万元奖励资助。</w:t>
            </w:r>
          </w:p>
          <w:p>
            <w:pPr>
              <w:keepNext w:val="0"/>
              <w:keepLines w:val="0"/>
              <w:pageBreakBefore w:val="0"/>
              <w:widowControl w:val="0"/>
              <w:kinsoku/>
              <w:overflowPunct/>
              <w:topLinePunct w:val="0"/>
              <w:bidi w:val="0"/>
              <w:spacing w:beforeAutospacing="0" w:afterAutospacing="0" w:line="560" w:lineRule="exact"/>
              <w:ind w:firstLine="636"/>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下一步，我们将深入贯彻落实习近平总书记视察天津重要讲话精神和关于人才工作的一系列重要指示批示精神，充分发挥人力社保部门在高层次人才引育、留学回国人员服务等方面的职能优势，不断拓宽引才育才渠道，积极联合我市高校、院所、企业，通过人才项目集聚优秀海内外人才来津创新创业。</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四、支持津港高校青年深入交流互动</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我市积极</w:t>
            </w:r>
            <w:r>
              <w:rPr>
                <w:rFonts w:hint="default" w:ascii="Times New Roman" w:hAnsi="Times New Roman" w:eastAsia="仿宋_GB2312" w:cs="Times New Roman"/>
                <w:sz w:val="32"/>
                <w:szCs w:val="32"/>
              </w:rPr>
              <w:t>为香港来津就读的学生提供求学便利，进一步搭建津港高校交流合作的桥梁，推动津港高校进一步合作，吸引香港高校师生到天津参与科研发展，支持优秀青年来津旅游、进修、工作和发展，与天津高校一同推进津港两地友谊持续发展。持续举办深化津港青年之间交流交往的活动,欢迎更多青年到访天津,加深香港青年、香港教师对祖国发展的了解,感受天津发展成就，推动香港青年在“一国两制”优越的发展条件中,主动“争取机会、把握机遇、创造未来”,积极融入国家发展大局,一起讲好中国故事、讲好天津故事、讲好香港故事。</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lang w:eastAsia="zh-CN"/>
              </w:rPr>
              <w:t>此外，关于您提出的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从政府层面推动，定期举办交流周</w:t>
            </w:r>
            <w:r>
              <w:rPr>
                <w:rFonts w:hint="eastAsia" w:ascii="Times New Roman" w:hAnsi="Times New Roman" w:eastAsia="仿宋_GB2312" w:cs="Times New Roman"/>
                <w:sz w:val="32"/>
                <w:szCs w:val="32"/>
                <w:lang w:eastAsia="zh-CN"/>
              </w:rPr>
              <w:t>”的建议。</w:t>
            </w:r>
            <w:r>
              <w:rPr>
                <w:rFonts w:hint="eastAsia" w:ascii="Times New Roman" w:hAnsi="Times New Roman" w:eastAsia="仿宋_GB2312" w:cs="Times New Roman"/>
                <w:sz w:val="32"/>
                <w:szCs w:val="32"/>
                <w:lang w:val="en-US" w:eastAsia="zh-CN"/>
              </w:rPr>
              <w:t>2021年，我市成功举办</w:t>
            </w:r>
            <w:r>
              <w:rPr>
                <w:rFonts w:hint="default" w:ascii="Times New Roman" w:hAnsi="Times New Roman" w:eastAsia="仿宋_GB2312" w:cs="Times New Roman"/>
                <w:spacing w:val="0"/>
                <w:kern w:val="0"/>
                <w:sz w:val="32"/>
                <w:szCs w:val="32"/>
                <w:lang w:val="en-US" w:eastAsia="zh-CN" w:bidi="ar-SA"/>
              </w:rPr>
              <w:t>“天下之津—2021津港合作周”活动，林郑月娥女士为活动视频致辞，百余位津港企业家齐聚津门，共商区域协调发展大计，取得了良好效果。今年，我市正在与香港特区政府、香港贸发局及有关协会积极对接，筹划举办津港合作周活动</w:t>
            </w:r>
            <w:r>
              <w:rPr>
                <w:rFonts w:hint="eastAsia" w:ascii="Times New Roman" w:hAnsi="Times New Roman" w:eastAsia="仿宋_GB2312" w:cs="Times New Roman"/>
                <w:spacing w:val="0"/>
                <w:kern w:val="0"/>
                <w:sz w:val="32"/>
                <w:szCs w:val="32"/>
                <w:lang w:val="en-US" w:eastAsia="zh-CN" w:bidi="ar-SA"/>
              </w:rPr>
              <w:t>。下一步，将积极与香港特区政府有关部门积极对接洽谈，</w:t>
            </w:r>
            <w:r>
              <w:rPr>
                <w:rFonts w:hint="default" w:ascii="Times New Roman" w:hAnsi="Times New Roman" w:eastAsia="仿宋_GB2312" w:cs="Times New Roman"/>
                <w:spacing w:val="0"/>
                <w:kern w:val="0"/>
                <w:sz w:val="32"/>
                <w:szCs w:val="32"/>
                <w:lang w:val="en-US" w:eastAsia="zh-CN" w:bidi="ar-SA"/>
              </w:rPr>
              <w:t>希望未来可以实现在津港两地定期举办“天津香港合作周”“香港天津合作周”活动，进一步深化津港在科技、金融、港口、教育、青年、旅游、体育等各领域的务实合作。</w:t>
            </w:r>
          </w:p>
          <w:p>
            <w:pPr>
              <w:pStyle w:val="3"/>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napToGrid/>
              <w:spacing w:line="580" w:lineRule="exact"/>
              <w:ind w:left="0" w:leftChars="0" w:right="105" w:rightChars="50" w:firstLine="640" w:firstLineChars="200"/>
              <w:textAlignment w:val="auto"/>
              <w:rPr>
                <w:rFonts w:hint="default" w:ascii="Times New Roman" w:hAnsi="Times New Roman" w:eastAsia="仿宋_GB2312" w:cs="Times New Roman"/>
                <w:sz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480" w:lineRule="exact"/>
              <w:ind w:right="105" w:rightChars="50"/>
              <w:jc w:val="both"/>
              <w:rPr>
                <w:rFonts w:hint="default" w:ascii="Times New Roman" w:hAnsi="Times New Roman" w:eastAsia="仿宋_GB2312" w:cs="Times New Roman"/>
                <w:sz w:val="32"/>
              </w:rPr>
            </w:pPr>
          </w:p>
          <w:p>
            <w:pPr>
              <w:spacing w:line="480" w:lineRule="exact"/>
              <w:ind w:right="105" w:rightChars="50"/>
              <w:jc w:val="right"/>
              <w:rPr>
                <w:rFonts w:hint="default" w:ascii="Times New Roman" w:hAnsi="Times New Roman" w:eastAsia="仿宋_GB2312" w:cs="Times New Roman"/>
                <w:sz w:val="32"/>
              </w:rPr>
            </w:pPr>
            <w:bookmarkStart w:id="3" w:name="now"/>
            <w:r>
              <w:rPr>
                <w:rFonts w:hint="default" w:ascii="Times New Roman" w:hAnsi="Times New Roman" w:eastAsia="仿宋_GB2312" w:cs="Times New Roman"/>
                <w:sz w:val="32"/>
                <w:lang w:val="en-US" w:eastAsia="zh-CN"/>
              </w:rPr>
              <w:t>2024年4月1</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日</w:t>
            </w:r>
            <w:bookmarkEnd w:id="3"/>
            <w:r>
              <w:rPr>
                <w:rFonts w:hint="default" w:ascii="Times New Roman" w:hAnsi="Times New Roman" w:eastAsia="仿宋_GB2312" w:cs="Times New Roman"/>
                <w:sz w:val="32"/>
              </w:rPr>
              <w:t xml:space="preserve">   </w:t>
            </w:r>
          </w:p>
          <w:p>
            <w:pPr>
              <w:spacing w:line="480" w:lineRule="exact"/>
              <w:ind w:right="105" w:rightChars="50"/>
              <w:jc w:val="right"/>
              <w:rPr>
                <w:rFonts w:hint="default" w:ascii="Times New Roman" w:hAnsi="Times New Roman" w:eastAsia="仿宋_GB2312" w:cs="Times New Roman"/>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000" w:type="pct"/>
            <w:gridSpan w:val="6"/>
            <w:tcBorders>
              <w:tl2br w:val="nil"/>
              <w:tr2bl w:val="nil"/>
            </w:tcBorders>
            <w:noWrap w:val="0"/>
            <w:vAlign w:val="bottom"/>
          </w:tcPr>
          <w:p>
            <w:pPr>
              <w:spacing w:line="480" w:lineRule="exact"/>
              <w:ind w:right="105" w:rightChars="5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18"/>
              </w:rPr>
              <w:t xml:space="preserve"> </w:t>
            </w:r>
            <w:bookmarkStart w:id="4" w:name="fy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50"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工作人员：</w:t>
            </w:r>
          </w:p>
        </w:tc>
        <w:tc>
          <w:tcPr>
            <w:tcW w:w="1476"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赵岩</w:t>
            </w:r>
          </w:p>
        </w:tc>
        <w:tc>
          <w:tcPr>
            <w:tcW w:w="977"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联系电话：</w:t>
            </w:r>
          </w:p>
        </w:tc>
        <w:tc>
          <w:tcPr>
            <w:tcW w:w="1595"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022-63085813</w:t>
            </w:r>
            <w:bookmarkStart w:id="5" w:name="_GoBack"/>
            <w:bookmarkEnd w:id="5"/>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61" w:bottom="1985"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859F"/>
    <w:multiLevelType w:val="multilevel"/>
    <w:tmpl w:val="AC2A859F"/>
    <w:lvl w:ilvl="0" w:tentative="0">
      <w:start w:val="1"/>
      <w:numFmt w:val="chineseCounting"/>
      <w:pStyle w:val="17"/>
      <w:suff w:val="nothing"/>
      <w:lvlText w:val="（%1）"/>
      <w:lvlJc w:val="left"/>
      <w:pPr>
        <w:tabs>
          <w:tab w:val="left" w:pos="0"/>
        </w:tabs>
        <w:ind w:left="0" w:firstLine="400"/>
      </w:pPr>
      <w:rPr>
        <w:rFonts w:hint="eastAsia" w:ascii="仿宋_GB2312" w:hAnsi="仿宋_GB2312" w:eastAsia="仿宋_GB2312" w:cs="宋体"/>
        <w:sz w:val="32"/>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BBF1A9A"/>
    <w:multiLevelType w:val="singleLevel"/>
    <w:tmpl w:val="BBBF1A9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25F"/>
    <w:rsid w:val="00116DAE"/>
    <w:rsid w:val="00151656"/>
    <w:rsid w:val="00160D66"/>
    <w:rsid w:val="0018011C"/>
    <w:rsid w:val="00181F02"/>
    <w:rsid w:val="001A7225"/>
    <w:rsid w:val="001F61E3"/>
    <w:rsid w:val="002371A3"/>
    <w:rsid w:val="00261F6E"/>
    <w:rsid w:val="00272F04"/>
    <w:rsid w:val="00272F5E"/>
    <w:rsid w:val="00296F01"/>
    <w:rsid w:val="002B29B1"/>
    <w:rsid w:val="002C1912"/>
    <w:rsid w:val="002F0464"/>
    <w:rsid w:val="002F2BA0"/>
    <w:rsid w:val="00307EB1"/>
    <w:rsid w:val="003308ED"/>
    <w:rsid w:val="00354A16"/>
    <w:rsid w:val="00372068"/>
    <w:rsid w:val="00375D6E"/>
    <w:rsid w:val="00382172"/>
    <w:rsid w:val="004277E8"/>
    <w:rsid w:val="00460BAF"/>
    <w:rsid w:val="004C2F93"/>
    <w:rsid w:val="0052525D"/>
    <w:rsid w:val="00575302"/>
    <w:rsid w:val="0059759C"/>
    <w:rsid w:val="005B7C6A"/>
    <w:rsid w:val="005D25F2"/>
    <w:rsid w:val="005E0C68"/>
    <w:rsid w:val="005E7285"/>
    <w:rsid w:val="005F2062"/>
    <w:rsid w:val="005F5E66"/>
    <w:rsid w:val="00663555"/>
    <w:rsid w:val="007616B6"/>
    <w:rsid w:val="007746FD"/>
    <w:rsid w:val="007B2223"/>
    <w:rsid w:val="007D7D3A"/>
    <w:rsid w:val="007E1B8B"/>
    <w:rsid w:val="008155F9"/>
    <w:rsid w:val="00821E10"/>
    <w:rsid w:val="008222BF"/>
    <w:rsid w:val="00843262"/>
    <w:rsid w:val="00883F64"/>
    <w:rsid w:val="00895F09"/>
    <w:rsid w:val="00917F65"/>
    <w:rsid w:val="00930E75"/>
    <w:rsid w:val="00953B90"/>
    <w:rsid w:val="00982E66"/>
    <w:rsid w:val="009A0C11"/>
    <w:rsid w:val="009A5A86"/>
    <w:rsid w:val="009F568A"/>
    <w:rsid w:val="00A01DE8"/>
    <w:rsid w:val="00A03B4F"/>
    <w:rsid w:val="00AE0062"/>
    <w:rsid w:val="00B21A65"/>
    <w:rsid w:val="00B32F4D"/>
    <w:rsid w:val="00B67BF0"/>
    <w:rsid w:val="00B96B7B"/>
    <w:rsid w:val="00C16116"/>
    <w:rsid w:val="00C40842"/>
    <w:rsid w:val="00C559AE"/>
    <w:rsid w:val="00CC5ACA"/>
    <w:rsid w:val="00CD3DDD"/>
    <w:rsid w:val="00CD5AEB"/>
    <w:rsid w:val="00D07119"/>
    <w:rsid w:val="00D47E88"/>
    <w:rsid w:val="00DC2D37"/>
    <w:rsid w:val="00E00CB1"/>
    <w:rsid w:val="00E20115"/>
    <w:rsid w:val="00E81C98"/>
    <w:rsid w:val="00E87832"/>
    <w:rsid w:val="00F20A91"/>
    <w:rsid w:val="00F34F3B"/>
    <w:rsid w:val="00F80197"/>
    <w:rsid w:val="02950A43"/>
    <w:rsid w:val="05FB352C"/>
    <w:rsid w:val="062C73BA"/>
    <w:rsid w:val="0F415A30"/>
    <w:rsid w:val="1A1A2EA1"/>
    <w:rsid w:val="1BE3569F"/>
    <w:rsid w:val="20FE4F37"/>
    <w:rsid w:val="22666FCA"/>
    <w:rsid w:val="23957D52"/>
    <w:rsid w:val="265833FB"/>
    <w:rsid w:val="2A106D0B"/>
    <w:rsid w:val="2DCA2874"/>
    <w:rsid w:val="377A2E5E"/>
    <w:rsid w:val="385C0DBD"/>
    <w:rsid w:val="3A57702C"/>
    <w:rsid w:val="3F3CE55B"/>
    <w:rsid w:val="3FEB9C9A"/>
    <w:rsid w:val="447E3320"/>
    <w:rsid w:val="45CB5298"/>
    <w:rsid w:val="4B30475B"/>
    <w:rsid w:val="4CA33CB0"/>
    <w:rsid w:val="4D14258D"/>
    <w:rsid w:val="55BFA956"/>
    <w:rsid w:val="57073EC0"/>
    <w:rsid w:val="59C6063C"/>
    <w:rsid w:val="63E612D4"/>
    <w:rsid w:val="66F79180"/>
    <w:rsid w:val="693053CC"/>
    <w:rsid w:val="6AB50BAB"/>
    <w:rsid w:val="6BBECCB9"/>
    <w:rsid w:val="6CA056C1"/>
    <w:rsid w:val="6D957ABF"/>
    <w:rsid w:val="7312333B"/>
    <w:rsid w:val="75561D3A"/>
    <w:rsid w:val="78BC2114"/>
    <w:rsid w:val="7952225A"/>
    <w:rsid w:val="7D174045"/>
    <w:rsid w:val="7D906DB7"/>
    <w:rsid w:val="7E674295"/>
    <w:rsid w:val="7EF51F4A"/>
    <w:rsid w:val="7FFD21D0"/>
    <w:rsid w:val="8FFE7609"/>
    <w:rsid w:val="9BDA16FE"/>
    <w:rsid w:val="AFFB8FC5"/>
    <w:rsid w:val="D7FF3174"/>
    <w:rsid w:val="E6DB938D"/>
    <w:rsid w:val="F5F933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next w:val="4"/>
    <w:semiHidden/>
    <w:qFormat/>
    <w:uiPriority w:val="0"/>
    <w:pPr>
      <w:jc w:val="center"/>
    </w:pPr>
    <w:rPr>
      <w:rFonts w:ascii="宋体"/>
      <w:b/>
      <w:bCs/>
      <w:sz w:val="44"/>
    </w:rPr>
  </w:style>
  <w:style w:type="paragraph" w:styleId="4">
    <w:name w:val="footer"/>
    <w:basedOn w:val="1"/>
    <w:next w:val="5"/>
    <w:link w:val="16"/>
    <w:semiHidden/>
    <w:unhideWhenUsed/>
    <w:qFormat/>
    <w:uiPriority w:val="99"/>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Normal Indent"/>
    <w:basedOn w:val="1"/>
    <w:qFormat/>
    <w:uiPriority w:val="99"/>
    <w:pPr>
      <w:ind w:firstLine="420" w:firstLineChars="200"/>
    </w:pPr>
  </w:style>
  <w:style w:type="paragraph" w:styleId="7">
    <w:name w:val="Date"/>
    <w:basedOn w:val="1"/>
    <w:next w:val="1"/>
    <w:semiHidden/>
    <w:qFormat/>
    <w:uiPriority w:val="0"/>
    <w:pPr>
      <w:ind w:left="100" w:leftChars="2500"/>
    </w:pPr>
    <w:rPr>
      <w:rFonts w:ascii="仿宋_GB2312" w:eastAsia="仿宋_GB2312"/>
      <w:sz w:val="32"/>
    </w:rPr>
  </w:style>
  <w:style w:type="paragraph" w:styleId="8">
    <w:name w:val="Body Text Indent 2"/>
    <w:basedOn w:val="1"/>
    <w:semiHidden/>
    <w:qFormat/>
    <w:uiPriority w:val="0"/>
    <w:pPr>
      <w:ind w:firstLine="644" w:firstLineChars="200"/>
    </w:pPr>
    <w:rPr>
      <w:rFonts w:eastAsia="黑体"/>
      <w:sz w:val="32"/>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qFormat/>
    <w:uiPriority w:val="0"/>
  </w:style>
  <w:style w:type="paragraph" w:customStyle="1" w:styleId="14">
    <w:name w:val="默认"/>
    <w:qFormat/>
    <w:uiPriority w:val="0"/>
    <w:rPr>
      <w:rFonts w:ascii="Helvetica" w:hAnsi="Helvetica" w:eastAsia="Helvetica" w:cs="Helvetica"/>
      <w:color w:val="000000"/>
      <w:sz w:val="22"/>
      <w:szCs w:val="22"/>
      <w:lang w:val="en-US" w:eastAsia="zh-CN" w:bidi="ar-SA"/>
    </w:rPr>
  </w:style>
  <w:style w:type="character" w:customStyle="1" w:styleId="15">
    <w:name w:val=" Char Char1"/>
    <w:basedOn w:val="12"/>
    <w:link w:val="9"/>
    <w:semiHidden/>
    <w:qFormat/>
    <w:uiPriority w:val="99"/>
    <w:rPr>
      <w:kern w:val="2"/>
      <w:sz w:val="18"/>
      <w:szCs w:val="18"/>
    </w:rPr>
  </w:style>
  <w:style w:type="character" w:customStyle="1" w:styleId="16">
    <w:name w:val=" Char Char"/>
    <w:basedOn w:val="12"/>
    <w:link w:val="4"/>
    <w:semiHidden/>
    <w:qFormat/>
    <w:uiPriority w:val="99"/>
    <w:rPr>
      <w:kern w:val="2"/>
      <w:sz w:val="18"/>
      <w:szCs w:val="18"/>
    </w:rPr>
  </w:style>
  <w:style w:type="paragraph" w:customStyle="1" w:styleId="17">
    <w:name w:val="公文-三级内容（一）"/>
    <w:basedOn w:val="1"/>
    <w:qFormat/>
    <w:uiPriority w:val="0"/>
    <w:pPr>
      <w:numPr>
        <w:ilvl w:val="0"/>
        <w:numId w:val="1"/>
      </w:numPr>
      <w:spacing w:line="579" w:lineRule="exac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bf2bac-2777-48b9-8fe3-c7d0d6fb2e8a}"/>
        <w:style w:val=""/>
        <w:category>
          <w:name w:val="常规"/>
          <w:gallery w:val="placeholder"/>
        </w:category>
        <w:types>
          <w:type w:val="bbPlcHdr"/>
        </w:types>
        <w:behaviors>
          <w:behavior w:val="content"/>
        </w:behaviors>
        <w:description w:val=""/>
        <w:guid w:val="{fbbf2bac-2777-48b9-8fe3-c7d0d6fb2e8a}"/>
      </w:docPartPr>
      <w:docPartBody>
        <w:p>
          <w:r>
            <w:rPr>
              <w:color w:val="808080"/>
            </w:rPr>
            <w:t>选择一项。</w:t>
          </w:r>
        </w:p>
      </w:docPartBody>
    </w:docPart>
    <w:docPart>
      <w:docPartPr>
        <w:name w:val="{5664cb10-74fb-4547-88a8-b8c5d4df73ec}"/>
        <w:style w:val=""/>
        <w:category>
          <w:name w:val="常规"/>
          <w:gallery w:val="placeholder"/>
        </w:category>
        <w:types>
          <w:type w:val="bbPlcHdr"/>
        </w:types>
        <w:behaviors>
          <w:behavior w:val="content"/>
        </w:behaviors>
        <w:description w:val=""/>
        <w:guid w:val="{5664cb10-74fb-4547-88a8-b8c5d4df73e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spice</Company>
  <Pages>5</Pages>
  <Words>341</Words>
  <Characters>1948</Characters>
  <Lines>16</Lines>
  <Paragraphs>4</Paragraphs>
  <TotalTime>0</TotalTime>
  <ScaleCrop>false</ScaleCrop>
  <LinksUpToDate>false</LinksUpToDate>
  <CharactersWithSpaces>2285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2021-04-09T11:49:00Z</dcterms:created>
  <dc:creator>wjc</dc:creator>
  <cp:lastModifiedBy>市外办</cp:lastModifiedBy>
  <dcterms:modified xsi:type="dcterms:W3CDTF">2024-04-15T11:03:41Z</dcterms:modified>
  <dc:title>各区县委办局办公室：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