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77B00" w:rsidRDefault="0048476A" w:rsidP="00777B00">
      <w:pPr>
        <w:jc w:val="center"/>
        <w:rPr>
          <w:rFonts w:ascii="华文中宋" w:eastAsia="华文中宋" w:hAnsi="华文中宋"/>
          <w:b/>
          <w:bCs/>
          <w:color w:val="FF0000"/>
          <w:sz w:val="84"/>
        </w:rPr>
      </w:pPr>
      <w:bookmarkStart w:id="0" w:name="dw"/>
      <w:r>
        <w:rPr>
          <w:rFonts w:ascii="华文中宋" w:eastAsia="华文中宋" w:hAnsi="华文中宋" w:hint="eastAsia"/>
          <w:b/>
          <w:bCs/>
          <w:color w:val="FF0000"/>
          <w:sz w:val="84"/>
        </w:rPr>
        <w:t>天津市人民政府外事</w:t>
      </w:r>
    </w:p>
    <w:p w:rsidR="006676EC" w:rsidRDefault="0048476A" w:rsidP="00777B00">
      <w:pPr>
        <w:jc w:val="center"/>
        <w:rPr>
          <w:rFonts w:ascii="华文中宋" w:eastAsia="华文中宋" w:hAnsi="华文中宋"/>
          <w:b/>
          <w:bCs/>
          <w:color w:val="FF0000"/>
          <w:sz w:val="84"/>
        </w:rPr>
      </w:pPr>
      <w:r>
        <w:rPr>
          <w:rFonts w:ascii="华文中宋" w:eastAsia="华文中宋" w:hAnsi="华文中宋" w:hint="eastAsia"/>
          <w:b/>
          <w:bCs/>
          <w:color w:val="FF0000"/>
          <w:sz w:val="84"/>
        </w:rPr>
        <w:t>办公室</w:t>
      </w:r>
      <w:bookmarkEnd w:id="0"/>
    </w:p>
    <w:p w:rsidR="006676EC" w:rsidRDefault="006676EC">
      <w:pPr>
        <w:spacing w:line="360" w:lineRule="exact"/>
        <w:rPr>
          <w:rFonts w:ascii="仿宋_GB2312" w:eastAsia="仿宋_GB2312" w:hAnsi="宋体"/>
          <w:sz w:val="30"/>
        </w:rPr>
      </w:pPr>
    </w:p>
    <w:p w:rsidR="006676EC" w:rsidRDefault="0048476A">
      <w:pPr>
        <w:rPr>
          <w:rFonts w:ascii="仿宋_GB2312" w:eastAsia="仿宋_GB2312" w:hAnsi="宋体"/>
          <w:sz w:val="13"/>
          <w:szCs w:val="13"/>
        </w:rPr>
      </w:pPr>
      <w:r>
        <w:rPr>
          <w:rFonts w:ascii="仿宋_GB2312" w:eastAsia="仿宋_GB2312" w:hAnsi="宋体"/>
          <w:noProof/>
          <w:sz w:val="13"/>
          <w:szCs w:val="13"/>
        </w:rPr>
        <mc:AlternateContent>
          <mc:Choice Requires="wps">
            <w:drawing>
              <wp:anchor distT="0" distB="0" distL="114300" distR="114300" simplePos="0" relativeHeight="251658240" behindDoc="0" locked="0" layoutInCell="1" allowOverlap="1">
                <wp:simplePos x="0" y="0"/>
                <wp:positionH relativeFrom="column">
                  <wp:posOffset>0</wp:posOffset>
                </wp:positionH>
                <wp:positionV relativeFrom="paragraph">
                  <wp:posOffset>0</wp:posOffset>
                </wp:positionV>
                <wp:extent cx="5600700" cy="0"/>
                <wp:effectExtent l="0" t="0" r="0" b="0"/>
                <wp:wrapSquare wrapText="bothSides"/>
                <wp:docPr id="1" name="直线 2"/>
                <wp:cNvGraphicFramePr/>
                <a:graphic xmlns:a="http://schemas.openxmlformats.org/drawingml/2006/main">
                  <a:graphicData uri="http://schemas.microsoft.com/office/word/2010/wordprocessingShape">
                    <wps:wsp>
                      <wps:cNvCnPr/>
                      <wps:spPr>
                        <a:xfrm>
                          <a:off x="0" y="0"/>
                          <a:ext cx="5600700" cy="0"/>
                        </a:xfrm>
                        <a:prstGeom prst="line">
                          <a:avLst/>
                        </a:prstGeom>
                        <a:ln w="9525" cap="flat" cmpd="sng">
                          <a:solidFill>
                            <a:srgbClr val="FF0000"/>
                          </a:solidFill>
                          <a:prstDash val="solid"/>
                          <a:headEnd type="none" w="med" len="med"/>
                          <a:tailEnd type="none" w="med" len="med"/>
                        </a:ln>
                      </wps:spPr>
                      <wps:bodyPr/>
                    </wps:wsp>
                  </a:graphicData>
                </a:graphic>
              </wp:anchor>
            </w:drawing>
          </mc:Choice>
          <mc:Fallback>
            <w:pict>
              <v:line w14:anchorId="36B5C557" id="直线 2" o:spid="_x0000_s1026" style="position:absolute;left:0;text-align:left;z-index:251658240;visibility:visible;mso-wrap-style:square;mso-wrap-distance-left:9pt;mso-wrap-distance-top:0;mso-wrap-distance-right:9pt;mso-wrap-distance-bottom:0;mso-position-horizontal:absolute;mso-position-horizontal-relative:text;mso-position-vertical:absolute;mso-position-vertical-relative:text" from="0,0" to="441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" strokecolor="red">
                <w10:wrap type="square"/>
              </v:line>
            </w:pict>
          </mc:Fallback>
        </mc:AlternateContent>
      </w:r>
    </w:p>
    <w:tbl>
      <w:tblPr>
        <w:tblW w:w="9356" w:type="dxa"/>
        <w:tblInd w:w="-34" w:type="dxa"/>
        <w:tblLook w:val="04A0" w:firstRow="1" w:lastRow="0" w:firstColumn="1" w:lastColumn="0" w:noHBand="0" w:noVBand="1"/>
      </w:tblPr>
      <w:tblGrid>
        <w:gridCol w:w="1778"/>
        <w:gridCol w:w="2762"/>
        <w:gridCol w:w="1272"/>
        <w:gridCol w:w="556"/>
        <w:gridCol w:w="1246"/>
        <w:gridCol w:w="1742"/>
      </w:tblGrid>
      <w:tr w:rsidR="006676EC">
        <w:tc>
          <w:tcPr>
            <w:tcW w:w="5000" w:type="pct"/>
            <w:gridSpan w:val="6"/>
            <w:tcBorders>
              <w:tl2br w:val="nil"/>
              <w:tr2bl w:val="nil"/>
            </w:tcBorders>
            <w:vAlign w:val="center"/>
          </w:tcPr>
          <w:p w:rsidR="006676EC" w:rsidRDefault="0048476A">
            <w:pPr>
              <w:jc w:val="center"/>
              <w:rPr>
                <w:b/>
                <w:bCs/>
                <w:sz w:val="44"/>
              </w:rPr>
            </w:pPr>
            <w:bookmarkStart w:id="1" w:name="bt"/>
            <w:r>
              <w:rPr>
                <w:b/>
                <w:bCs/>
                <w:sz w:val="44"/>
              </w:rPr>
              <w:t>对市十八届人大三次会议</w:t>
            </w:r>
            <w:r>
              <w:rPr>
                <w:b/>
                <w:bCs/>
                <w:sz w:val="44"/>
              </w:rPr>
              <w:br/>
            </w:r>
            <w:r>
              <w:rPr>
                <w:b/>
                <w:bCs/>
                <w:sz w:val="44"/>
              </w:rPr>
              <w:t>第</w:t>
            </w:r>
            <w:r>
              <w:rPr>
                <w:b/>
                <w:bCs/>
                <w:sz w:val="44"/>
              </w:rPr>
              <w:t>0</w:t>
            </w:r>
            <w:r>
              <w:rPr>
                <w:rFonts w:hint="eastAsia"/>
                <w:b/>
                <w:bCs/>
                <w:sz w:val="44"/>
              </w:rPr>
              <w:t>484</w:t>
            </w:r>
            <w:r>
              <w:rPr>
                <w:b/>
                <w:bCs/>
                <w:sz w:val="44"/>
              </w:rPr>
              <w:t>号建议的办理答复</w:t>
            </w:r>
            <w:bookmarkEnd w:id="1"/>
          </w:p>
        </w:tc>
      </w:tr>
      <w:tr w:rsidR="006676EC">
        <w:tc>
          <w:tcPr>
            <w:tcW w:w="3106" w:type="pct"/>
            <w:gridSpan w:val="3"/>
            <w:tcBorders>
              <w:tl2br w:val="nil"/>
              <w:tr2bl w:val="nil"/>
            </w:tcBorders>
          </w:tcPr>
          <w:p w:rsidR="006676EC" w:rsidRDefault="006676EC">
            <w:pPr>
              <w:spacing w:line="480" w:lineRule="exact"/>
              <w:ind w:rightChars="50" w:right="105"/>
              <w:jc w:val="right"/>
              <w:rPr>
                <w:rFonts w:eastAsia="仿宋_GB2312"/>
                <w:sz w:val="32"/>
              </w:rPr>
            </w:pPr>
          </w:p>
        </w:tc>
        <w:tc>
          <w:tcPr>
            <w:tcW w:w="963" w:type="pct"/>
            <w:gridSpan w:val="2"/>
            <w:tcBorders>
              <w:tl2br w:val="nil"/>
              <w:tr2bl w:val="nil"/>
            </w:tcBorders>
          </w:tcPr>
          <w:p w:rsidR="006676EC" w:rsidRDefault="0048476A">
            <w:pPr>
              <w:spacing w:line="480" w:lineRule="exact"/>
              <w:ind w:rightChars="50" w:right="105"/>
              <w:jc w:val="left"/>
              <w:rPr>
                <w:rFonts w:eastAsia="仿宋_GB2312"/>
                <w:sz w:val="32"/>
              </w:rPr>
            </w:pPr>
            <w:r>
              <w:rPr>
                <w:rFonts w:eastAsia="仿宋_GB2312"/>
                <w:sz w:val="32"/>
              </w:rPr>
              <w:t xml:space="preserve">　　类别：</w:t>
            </w:r>
          </w:p>
        </w:tc>
        <w:sdt>
          <w:sdtPr>
            <w:rPr>
              <w:rFonts w:eastAsia="仿宋_GB2312"/>
              <w:sz w:val="32"/>
            </w:rPr>
            <w:id w:val="147470906"/>
            <w:placeholder>
              <w:docPart w:val="{fbbf2bac-2777-48b9-8fe3-c7d0d6fb2e8a}"/>
            </w:placeholder>
            <w:dropDownList>
              <w:listItem w:displayText="选择一项。" w:value="选择一项。"/>
              <w:listItem w:displayText="A" w:value="A"/>
              <w:listItem w:displayText="B" w:value="B"/>
              <w:listItem w:displayText="C" w:value="C"/>
            </w:dropDownList>
          </w:sdtPr>
          <w:sdtEndPr/>
          <w:sdtContent>
            <w:tc>
              <w:tcPr>
                <w:tcW w:w="930" w:type="pct"/>
                <w:tcBorders>
                  <w:tl2br w:val="nil"/>
                  <w:tr2bl w:val="nil"/>
                </w:tcBorders>
              </w:tcPr>
              <w:p w:rsidR="006676EC" w:rsidRDefault="0048476A">
                <w:pPr>
                  <w:spacing w:line="480" w:lineRule="exact"/>
                  <w:ind w:rightChars="50" w:right="105"/>
                  <w:jc w:val="left"/>
                  <w:rPr>
                    <w:rFonts w:eastAsia="仿宋_GB2312"/>
                    <w:sz w:val="32"/>
                  </w:rPr>
                </w:pPr>
                <w:r>
                  <w:rPr>
                    <w:rFonts w:eastAsia="仿宋_GB2312"/>
                    <w:sz w:val="32"/>
                  </w:rPr>
                  <w:t>A</w:t>
                </w:r>
              </w:p>
            </w:tc>
          </w:sdtContent>
        </w:sdt>
      </w:tr>
      <w:tr w:rsidR="006676EC">
        <w:tc>
          <w:tcPr>
            <w:tcW w:w="3106" w:type="pct"/>
            <w:gridSpan w:val="3"/>
            <w:tcBorders>
              <w:tl2br w:val="nil"/>
              <w:tr2bl w:val="nil"/>
            </w:tcBorders>
          </w:tcPr>
          <w:p w:rsidR="006676EC" w:rsidRDefault="006676EC">
            <w:pPr>
              <w:spacing w:line="480" w:lineRule="exact"/>
              <w:ind w:rightChars="50" w:right="105"/>
              <w:jc w:val="right"/>
              <w:rPr>
                <w:rFonts w:eastAsia="仿宋_GB2312"/>
                <w:sz w:val="32"/>
              </w:rPr>
            </w:pPr>
          </w:p>
        </w:tc>
        <w:tc>
          <w:tcPr>
            <w:tcW w:w="963" w:type="pct"/>
            <w:gridSpan w:val="2"/>
            <w:tcBorders>
              <w:tl2br w:val="nil"/>
              <w:tr2bl w:val="nil"/>
            </w:tcBorders>
          </w:tcPr>
          <w:p w:rsidR="006676EC" w:rsidRDefault="0048476A">
            <w:pPr>
              <w:spacing w:line="480" w:lineRule="exact"/>
              <w:ind w:rightChars="50" w:right="105"/>
              <w:jc w:val="left"/>
              <w:rPr>
                <w:rFonts w:eastAsia="仿宋_GB2312"/>
                <w:sz w:val="32"/>
              </w:rPr>
            </w:pPr>
            <w:r>
              <w:rPr>
                <w:rFonts w:eastAsia="仿宋_GB2312"/>
                <w:sz w:val="32"/>
              </w:rPr>
              <w:t>签发领导：</w:t>
            </w:r>
          </w:p>
        </w:tc>
        <w:tc>
          <w:tcPr>
            <w:tcW w:w="930" w:type="pct"/>
            <w:tcBorders>
              <w:tl2br w:val="nil"/>
              <w:tr2bl w:val="nil"/>
            </w:tcBorders>
          </w:tcPr>
          <w:p w:rsidR="006676EC" w:rsidRDefault="007316B5">
            <w:pPr>
              <w:spacing w:line="480" w:lineRule="exact"/>
              <w:ind w:rightChars="50" w:right="105"/>
              <w:jc w:val="left"/>
              <w:rPr>
                <w:rFonts w:eastAsia="仿宋_GB2312"/>
                <w:sz w:val="32"/>
              </w:rPr>
            </w:pPr>
            <w:r>
              <w:rPr>
                <w:rFonts w:ascii="仿宋_GB2312" w:eastAsia="仿宋_GB2312" w:hint="eastAsia"/>
                <w:sz w:val="32"/>
              </w:rPr>
              <w:t>栾建章</w:t>
            </w:r>
          </w:p>
        </w:tc>
      </w:tr>
      <w:tr w:rsidR="006676EC">
        <w:tc>
          <w:tcPr>
            <w:tcW w:w="3106" w:type="pct"/>
            <w:gridSpan w:val="3"/>
            <w:tcBorders>
              <w:tl2br w:val="nil"/>
              <w:tr2bl w:val="nil"/>
            </w:tcBorders>
          </w:tcPr>
          <w:p w:rsidR="006676EC" w:rsidRDefault="006676EC">
            <w:pPr>
              <w:spacing w:line="480" w:lineRule="exact"/>
              <w:ind w:rightChars="50" w:right="105"/>
              <w:jc w:val="right"/>
              <w:rPr>
                <w:rFonts w:eastAsia="仿宋_GB2312"/>
                <w:sz w:val="32"/>
              </w:rPr>
            </w:pPr>
          </w:p>
        </w:tc>
        <w:tc>
          <w:tcPr>
            <w:tcW w:w="963" w:type="pct"/>
            <w:gridSpan w:val="2"/>
            <w:tcBorders>
              <w:tl2br w:val="nil"/>
              <w:tr2bl w:val="nil"/>
            </w:tcBorders>
          </w:tcPr>
          <w:p w:rsidR="006676EC" w:rsidRDefault="0048476A">
            <w:pPr>
              <w:spacing w:line="480" w:lineRule="exact"/>
              <w:ind w:rightChars="50" w:right="105"/>
              <w:jc w:val="left"/>
              <w:rPr>
                <w:rFonts w:eastAsia="仿宋_GB2312"/>
                <w:sz w:val="32"/>
              </w:rPr>
            </w:pPr>
            <w:r>
              <w:rPr>
                <w:rFonts w:eastAsia="仿宋_GB2312"/>
                <w:sz w:val="32"/>
              </w:rPr>
              <w:t>公开属性：</w:t>
            </w:r>
          </w:p>
        </w:tc>
        <w:sdt>
          <w:sdtPr>
            <w:rPr>
              <w:rFonts w:eastAsia="仿宋_GB2312"/>
              <w:sz w:val="32"/>
            </w:rPr>
            <w:id w:val="147470560"/>
            <w:placeholder>
              <w:docPart w:val="{5664cb10-74fb-4547-88a8-b8c5d4df73ec}"/>
            </w:placeholder>
            <w:dropDownList>
              <w:listItem w:displayText="选择一项。" w:value="选择一项。"/>
              <w:listItem w:displayText="是" w:value="是"/>
              <w:listItem w:displayText="否" w:value="否"/>
            </w:dropDownList>
          </w:sdtPr>
          <w:sdtEndPr/>
          <w:sdtContent>
            <w:tc>
              <w:tcPr>
                <w:tcW w:w="930" w:type="pct"/>
                <w:tcBorders>
                  <w:tl2br w:val="nil"/>
                  <w:tr2bl w:val="nil"/>
                </w:tcBorders>
              </w:tcPr>
              <w:p w:rsidR="006676EC" w:rsidRDefault="0048476A">
                <w:pPr>
                  <w:spacing w:line="480" w:lineRule="exact"/>
                  <w:ind w:rightChars="50" w:right="105"/>
                  <w:jc w:val="left"/>
                  <w:rPr>
                    <w:rFonts w:eastAsia="仿宋_GB2312"/>
                    <w:sz w:val="32"/>
                  </w:rPr>
                </w:pPr>
                <w:r>
                  <w:rPr>
                    <w:rFonts w:eastAsia="仿宋_GB2312"/>
                    <w:sz w:val="32"/>
                  </w:rPr>
                  <w:t>是</w:t>
                </w:r>
              </w:p>
            </w:tc>
          </w:sdtContent>
        </w:sdt>
      </w:tr>
      <w:tr w:rsidR="006676EC">
        <w:tc>
          <w:tcPr>
            <w:tcW w:w="5000" w:type="pct"/>
            <w:gridSpan w:val="6"/>
            <w:tcBorders>
              <w:tl2br w:val="nil"/>
              <w:tr2bl w:val="nil"/>
            </w:tcBorders>
          </w:tcPr>
          <w:p w:rsidR="006676EC" w:rsidRDefault="0048476A">
            <w:pPr>
              <w:spacing w:line="560" w:lineRule="exact"/>
              <w:ind w:rightChars="50" w:right="105"/>
              <w:rPr>
                <w:rFonts w:eastAsia="仿宋_GB2312"/>
                <w:sz w:val="32"/>
              </w:rPr>
            </w:pPr>
            <w:r>
              <w:rPr>
                <w:rFonts w:eastAsia="仿宋_GB2312"/>
                <w:sz w:val="32"/>
                <w:szCs w:val="18"/>
              </w:rPr>
              <w:t>时岩代表</w:t>
            </w:r>
            <w:r>
              <w:rPr>
                <w:rFonts w:eastAsia="仿宋_GB2312"/>
                <w:sz w:val="32"/>
              </w:rPr>
              <w:t>：</w:t>
            </w:r>
          </w:p>
        </w:tc>
      </w:tr>
      <w:tr w:rsidR="006676EC">
        <w:tc>
          <w:tcPr>
            <w:tcW w:w="5000" w:type="pct"/>
            <w:gridSpan w:val="6"/>
            <w:tcBorders>
              <w:tl2br w:val="nil"/>
              <w:tr2bl w:val="nil"/>
            </w:tcBorders>
          </w:tcPr>
          <w:p w:rsidR="006676EC" w:rsidRDefault="0048476A">
            <w:pPr>
              <w:spacing w:line="560" w:lineRule="exact"/>
              <w:rPr>
                <w:rFonts w:eastAsia="仿宋_GB2312"/>
                <w:sz w:val="32"/>
              </w:rPr>
            </w:pPr>
            <w:r>
              <w:rPr>
                <w:rFonts w:eastAsia="仿宋_GB2312"/>
                <w:sz w:val="32"/>
                <w:szCs w:val="18"/>
              </w:rPr>
              <w:t xml:space="preserve">　　</w:t>
            </w:r>
            <w:bookmarkStart w:id="2" w:name="shuo"/>
            <w:r>
              <w:rPr>
                <w:rFonts w:eastAsia="仿宋_GB2312" w:hint="eastAsia"/>
                <w:sz w:val="32"/>
                <w:szCs w:val="18"/>
              </w:rPr>
              <w:t>您</w:t>
            </w:r>
            <w:r>
              <w:rPr>
                <w:rFonts w:eastAsia="仿宋_GB2312"/>
                <w:sz w:val="32"/>
                <w:szCs w:val="18"/>
              </w:rPr>
              <w:t>提出的关于深化国际友好城市合作交流，助力高水平对外开放的建议，经研究答复如下</w:t>
            </w:r>
            <w:bookmarkEnd w:id="2"/>
            <w:r>
              <w:rPr>
                <w:rFonts w:eastAsia="仿宋_GB2312"/>
                <w:sz w:val="32"/>
                <w:szCs w:val="18"/>
              </w:rPr>
              <w:t>：</w:t>
            </w:r>
          </w:p>
        </w:tc>
      </w:tr>
      <w:tr w:rsidR="006676EC">
        <w:trPr>
          <w:trHeight w:val="1562"/>
        </w:trPr>
        <w:tc>
          <w:tcPr>
            <w:tcW w:w="5000" w:type="pct"/>
            <w:gridSpan w:val="6"/>
            <w:tcBorders>
              <w:tl2br w:val="nil"/>
              <w:tr2bl w:val="nil"/>
            </w:tcBorders>
          </w:tcPr>
          <w:p w:rsidR="006676EC" w:rsidRDefault="0048476A">
            <w:pPr>
              <w:spacing w:line="560" w:lineRule="exact"/>
              <w:ind w:rightChars="50" w:right="105" w:firstLineChars="200" w:firstLine="640"/>
              <w:rPr>
                <w:rFonts w:eastAsia="仿宋_GB2312"/>
                <w:sz w:val="32"/>
              </w:rPr>
            </w:pPr>
            <w:r>
              <w:rPr>
                <w:rFonts w:eastAsia="仿宋_GB2312"/>
                <w:sz w:val="32"/>
              </w:rPr>
              <w:t>近年来，</w:t>
            </w:r>
            <w:r>
              <w:rPr>
                <w:rFonts w:eastAsia="仿宋_GB2312" w:hint="eastAsia"/>
                <w:sz w:val="32"/>
              </w:rPr>
              <w:t>我</w:t>
            </w:r>
            <w:r>
              <w:rPr>
                <w:rFonts w:eastAsia="仿宋_GB2312"/>
                <w:sz w:val="32"/>
              </w:rPr>
              <w:t>市坚持以习近平外交思想为指导，深入贯彻落实习近平总书记关于国际友城工作的重要指示批示精神，把国际友城作为服务国家总体外交、服务天津高质量发展和高水平对外开放的重要抓手，聚焦</w:t>
            </w:r>
            <w:r>
              <w:rPr>
                <w:rFonts w:eastAsia="仿宋_GB2312"/>
                <w:sz w:val="32"/>
              </w:rPr>
              <w:t>“</w:t>
            </w:r>
            <w:r>
              <w:rPr>
                <w:rFonts w:eastAsia="仿宋_GB2312"/>
                <w:sz w:val="32"/>
              </w:rPr>
              <w:t>十项行动</w:t>
            </w:r>
            <w:r>
              <w:rPr>
                <w:rFonts w:eastAsia="仿宋_GB2312"/>
                <w:sz w:val="32"/>
              </w:rPr>
              <w:t>”</w:t>
            </w:r>
            <w:r>
              <w:rPr>
                <w:rFonts w:eastAsia="仿宋_GB2312"/>
                <w:sz w:val="32"/>
              </w:rPr>
              <w:t>，加强统筹协调和研究谋划，深化务实交流合作，不断强化友城平台和载体功能</w:t>
            </w:r>
            <w:r>
              <w:rPr>
                <w:rFonts w:eastAsia="仿宋_GB2312" w:hint="eastAsia"/>
                <w:sz w:val="32"/>
              </w:rPr>
              <w:t>。</w:t>
            </w:r>
            <w:r>
              <w:rPr>
                <w:rFonts w:eastAsia="仿宋_GB2312" w:hint="eastAsia"/>
                <w:sz w:val="32"/>
                <w:szCs w:val="32"/>
              </w:rPr>
              <w:t>2025</w:t>
            </w:r>
            <w:r>
              <w:rPr>
                <w:rFonts w:eastAsia="仿宋_GB2312" w:hint="eastAsia"/>
                <w:sz w:val="32"/>
                <w:szCs w:val="32"/>
              </w:rPr>
              <w:t>年，将“深化国际友城经贸合作”列入政府工作报告等重点事项一体谋划推动。</w:t>
            </w:r>
          </w:p>
          <w:p w:rsidR="006676EC" w:rsidRDefault="0048476A">
            <w:pPr>
              <w:spacing w:line="560" w:lineRule="exact"/>
              <w:ind w:rightChars="50" w:right="105" w:firstLineChars="200" w:firstLine="643"/>
              <w:rPr>
                <w:rFonts w:eastAsia="仿宋_GB2312"/>
                <w:sz w:val="32"/>
                <w:szCs w:val="32"/>
              </w:rPr>
            </w:pPr>
            <w:r>
              <w:rPr>
                <w:rFonts w:eastAsia="仿宋_GB2312" w:hint="eastAsia"/>
                <w:b/>
                <w:bCs/>
                <w:sz w:val="32"/>
              </w:rPr>
              <w:t>在外事领域，一是</w:t>
            </w:r>
            <w:r>
              <w:rPr>
                <w:rFonts w:eastAsia="仿宋_GB2312" w:hint="eastAsia"/>
                <w:sz w:val="32"/>
              </w:rPr>
              <w:t>积极发挥高层引领作用。紧紧围绕国家重大外交战略，持续加强友城高层互访。</w:t>
            </w:r>
            <w:r>
              <w:rPr>
                <w:rFonts w:eastAsia="仿宋_GB2312" w:hint="eastAsia"/>
                <w:sz w:val="32"/>
                <w:szCs w:val="32"/>
              </w:rPr>
              <w:t>常态化做好友城团组访津</w:t>
            </w:r>
            <w:r>
              <w:rPr>
                <w:rFonts w:eastAsia="仿宋_GB2312" w:hint="eastAsia"/>
                <w:sz w:val="32"/>
                <w:szCs w:val="32"/>
              </w:rPr>
              <w:lastRenderedPageBreak/>
              <w:t>接待工作，高效推动我市高级别代表团出访重点友城及重点企业访问交流，</w:t>
            </w:r>
            <w:r>
              <w:rPr>
                <w:rFonts w:eastAsia="仿宋_GB2312"/>
                <w:kern w:val="0"/>
                <w:sz w:val="32"/>
                <w:szCs w:val="32"/>
                <w:lang w:bidi="ar"/>
              </w:rPr>
              <w:t>组织开展</w:t>
            </w:r>
            <w:r>
              <w:rPr>
                <w:rFonts w:eastAsia="仿宋_GB2312"/>
                <w:kern w:val="0"/>
                <w:sz w:val="32"/>
                <w:szCs w:val="32"/>
                <w:lang w:bidi="ar"/>
              </w:rPr>
              <w:t>“</w:t>
            </w:r>
            <w:r>
              <w:rPr>
                <w:rFonts w:eastAsia="仿宋_GB2312"/>
                <w:kern w:val="0"/>
                <w:sz w:val="32"/>
                <w:szCs w:val="32"/>
                <w:lang w:bidi="ar"/>
              </w:rPr>
              <w:t>投资天津</w:t>
            </w:r>
            <w:r>
              <w:rPr>
                <w:rFonts w:eastAsia="仿宋_GB2312"/>
                <w:kern w:val="0"/>
                <w:sz w:val="32"/>
                <w:szCs w:val="32"/>
                <w:lang w:bidi="ar"/>
              </w:rPr>
              <w:t>”</w:t>
            </w:r>
            <w:r>
              <w:rPr>
                <w:rFonts w:eastAsia="仿宋_GB2312"/>
                <w:kern w:val="0"/>
                <w:sz w:val="32"/>
                <w:szCs w:val="32"/>
                <w:lang w:bidi="ar"/>
              </w:rPr>
              <w:t>系列招商促进活动，宣传我市营商环境和产业优势，推动重点外资项目进展，挖掘新的项目线索。</w:t>
            </w:r>
            <w:r>
              <w:rPr>
                <w:rFonts w:eastAsia="仿宋_GB2312" w:hint="eastAsia"/>
                <w:sz w:val="32"/>
                <w:szCs w:val="32"/>
              </w:rPr>
              <w:t>有效带动各区各部门、企业组团出海，拉项目、拼经济。</w:t>
            </w:r>
            <w:r>
              <w:rPr>
                <w:rFonts w:eastAsia="仿宋_GB2312" w:hint="eastAsia"/>
                <w:b/>
                <w:bCs/>
                <w:sz w:val="32"/>
              </w:rPr>
              <w:t>二是</w:t>
            </w:r>
            <w:r>
              <w:rPr>
                <w:rFonts w:eastAsia="仿宋_GB2312" w:hint="eastAsia"/>
                <w:sz w:val="32"/>
              </w:rPr>
              <w:t>优化友城全球布局。统筹友城数量的合理增长和质量的有效提升，继续优化友城层级梯次，巩固扩大国际“朋友圈”。积极推动当前存量友城的层级提升，积极寻求与目标友城签署合作意向书或备忘录。坚持“一城一策”，有计划有步骤地激活交往较少的友城、强化交往活络的友城，拓宽创新领域，丰富交流合作内容。</w:t>
            </w:r>
            <w:r>
              <w:rPr>
                <w:rFonts w:eastAsia="仿宋_GB2312" w:hint="eastAsia"/>
                <w:b/>
                <w:bCs/>
                <w:sz w:val="32"/>
              </w:rPr>
              <w:t>三是</w:t>
            </w:r>
            <w:r>
              <w:rPr>
                <w:rFonts w:eastAsia="仿宋_GB2312" w:hint="eastAsia"/>
                <w:sz w:val="32"/>
                <w:szCs w:val="32"/>
              </w:rPr>
              <w:t>大力推进友城“经济外事”。常态化走访服务友城驻津机构、在津重点企业，定期与友城机构召开视频会，深挖合作机遇，着力在经贸产业、科教、港产城融合、绿色低碳等重点领域推进友城务实合作。</w:t>
            </w:r>
          </w:p>
          <w:p w:rsidR="006676EC" w:rsidRDefault="0048476A">
            <w:pPr>
              <w:spacing w:line="560" w:lineRule="exact"/>
              <w:ind w:rightChars="50" w:right="105" w:firstLineChars="200" w:firstLine="643"/>
              <w:rPr>
                <w:rFonts w:eastAsia="仿宋_GB2312"/>
                <w:b/>
                <w:bCs/>
                <w:sz w:val="32"/>
              </w:rPr>
            </w:pPr>
            <w:r>
              <w:rPr>
                <w:rFonts w:eastAsia="仿宋_GB2312" w:hint="eastAsia"/>
                <w:b/>
                <w:bCs/>
                <w:sz w:val="32"/>
              </w:rPr>
              <w:t>在经贸领域，</w:t>
            </w:r>
            <w:r>
              <w:rPr>
                <w:rFonts w:eastAsia="仿宋_GB2312"/>
                <w:b/>
                <w:bCs/>
                <w:sz w:val="32"/>
              </w:rPr>
              <w:t>一是</w:t>
            </w:r>
            <w:r>
              <w:rPr>
                <w:rFonts w:eastAsia="仿宋_GB2312" w:hint="eastAsia"/>
                <w:sz w:val="32"/>
              </w:rPr>
              <w:t>充分发挥政策优势</w:t>
            </w:r>
            <w:r>
              <w:rPr>
                <w:rFonts w:eastAsia="仿宋_GB2312"/>
                <w:sz w:val="32"/>
              </w:rPr>
              <w:t>。用好《进一步支持天津滨海新区高质量发展的若干政策措施》《关于金融支持天津高质量发展的意见》，依托自贸试验区提升战略、服务业扩大开放综合试点等政策优势，分析筛选友城企业资源，促进天津与友城在循环经济、合成生物以及核药等领域的经贸合作。</w:t>
            </w:r>
            <w:r>
              <w:rPr>
                <w:rFonts w:eastAsia="仿宋_GB2312"/>
                <w:b/>
                <w:bCs/>
                <w:sz w:val="32"/>
              </w:rPr>
              <w:t>二是</w:t>
            </w:r>
            <w:r>
              <w:rPr>
                <w:rFonts w:eastAsia="仿宋_GB2312" w:hint="eastAsia"/>
                <w:sz w:val="32"/>
              </w:rPr>
              <w:t>用好</w:t>
            </w:r>
            <w:r>
              <w:rPr>
                <w:rFonts w:eastAsia="仿宋_GB2312"/>
                <w:sz w:val="32"/>
              </w:rPr>
              <w:t>展会平台。以夏季达沃斯论坛、国际航运产业博览会等高端展会为平台，用好主场办会优势，邀约友城企业来津洽谈，组织我市企业开展精准对接</w:t>
            </w:r>
            <w:r>
              <w:rPr>
                <w:rFonts w:eastAsia="仿宋_GB2312" w:hint="eastAsia"/>
                <w:sz w:val="32"/>
              </w:rPr>
              <w:t>，</w:t>
            </w:r>
            <w:r>
              <w:rPr>
                <w:rFonts w:eastAsia="仿宋_GB2312"/>
                <w:kern w:val="0"/>
                <w:sz w:val="32"/>
                <w:szCs w:val="32"/>
                <w:lang w:bidi="ar"/>
              </w:rPr>
              <w:t>拓展产业合作</w:t>
            </w:r>
            <w:r>
              <w:rPr>
                <w:rFonts w:eastAsia="仿宋_GB2312" w:hint="eastAsia"/>
                <w:kern w:val="0"/>
                <w:sz w:val="32"/>
                <w:szCs w:val="32"/>
                <w:lang w:bidi="ar"/>
              </w:rPr>
              <w:t>，</w:t>
            </w:r>
            <w:r>
              <w:rPr>
                <w:rFonts w:eastAsia="仿宋_GB2312"/>
                <w:kern w:val="0"/>
                <w:sz w:val="32"/>
                <w:szCs w:val="32"/>
                <w:lang w:bidi="ar"/>
              </w:rPr>
              <w:t>提升我市展会国际化水平</w:t>
            </w:r>
            <w:r>
              <w:rPr>
                <w:rFonts w:eastAsia="仿宋_GB2312" w:hint="eastAsia"/>
                <w:kern w:val="0"/>
                <w:sz w:val="32"/>
                <w:szCs w:val="32"/>
                <w:lang w:bidi="ar"/>
              </w:rPr>
              <w:t>。</w:t>
            </w:r>
            <w:r>
              <w:rPr>
                <w:rFonts w:eastAsia="仿宋_GB2312"/>
                <w:sz w:val="32"/>
              </w:rPr>
              <w:t>同时积极借助中国发展高层论坛、上海进博会、北京服贸会国内重大展会</w:t>
            </w:r>
            <w:r>
              <w:rPr>
                <w:rFonts w:eastAsia="仿宋_GB2312"/>
                <w:sz w:val="32"/>
              </w:rPr>
              <w:lastRenderedPageBreak/>
              <w:t>平台，广泛接触友城企业，吸引来津投资</w:t>
            </w:r>
            <w:r>
              <w:rPr>
                <w:rFonts w:eastAsia="仿宋_GB2312" w:hint="eastAsia"/>
                <w:sz w:val="32"/>
              </w:rPr>
              <w:t>。大力</w:t>
            </w:r>
            <w:r>
              <w:rPr>
                <w:rFonts w:eastAsia="仿宋_GB2312"/>
                <w:kern w:val="0"/>
                <w:sz w:val="32"/>
                <w:szCs w:val="32"/>
                <w:lang w:bidi="ar"/>
              </w:rPr>
              <w:t>支持外贸企业参加境外展会</w:t>
            </w:r>
            <w:r>
              <w:rPr>
                <w:rFonts w:eastAsia="仿宋_GB2312" w:hint="eastAsia"/>
                <w:kern w:val="0"/>
                <w:sz w:val="32"/>
                <w:szCs w:val="32"/>
                <w:lang w:bidi="ar"/>
              </w:rPr>
              <w:t>。</w:t>
            </w:r>
            <w:r>
              <w:rPr>
                <w:rFonts w:eastAsia="仿宋_GB2312" w:hint="eastAsia"/>
                <w:b/>
                <w:bCs/>
                <w:kern w:val="0"/>
                <w:sz w:val="32"/>
                <w:szCs w:val="32"/>
                <w:lang w:bidi="ar"/>
              </w:rPr>
              <w:t>三是</w:t>
            </w:r>
            <w:r>
              <w:rPr>
                <w:rFonts w:eastAsia="仿宋_GB2312"/>
                <w:sz w:val="32"/>
              </w:rPr>
              <w:t>搭建多元平台</w:t>
            </w:r>
            <w:r>
              <w:rPr>
                <w:rFonts w:eastAsia="仿宋_GB2312" w:hint="eastAsia"/>
                <w:sz w:val="32"/>
              </w:rPr>
              <w:t>。</w:t>
            </w:r>
            <w:r>
              <w:rPr>
                <w:rFonts w:eastAsia="仿宋_GB2312"/>
                <w:kern w:val="0"/>
                <w:sz w:val="32"/>
                <w:szCs w:val="32"/>
                <w:lang w:bidi="ar"/>
              </w:rPr>
              <w:t>精心组织商务交流活动，鼓励我市商务团组出访友城并为出访团组提供行前培训，助力企业了解当地市场、文化及法规。对来访团组，安排专</w:t>
            </w:r>
            <w:r w:rsidR="002D3844">
              <w:rPr>
                <w:rFonts w:eastAsia="仿宋_GB2312"/>
                <w:kern w:val="0"/>
                <w:sz w:val="32"/>
                <w:szCs w:val="32"/>
                <w:lang w:bidi="ar"/>
              </w:rPr>
              <w:t>业接待团队，组织精准对接。积极举办友城特色产品推介会，与我市促</w:t>
            </w:r>
            <w:r w:rsidR="002D3844">
              <w:rPr>
                <w:rFonts w:eastAsia="仿宋_GB2312" w:hint="eastAsia"/>
                <w:kern w:val="0"/>
                <w:sz w:val="32"/>
                <w:szCs w:val="32"/>
                <w:lang w:bidi="ar"/>
              </w:rPr>
              <w:t>消</w:t>
            </w:r>
            <w:r>
              <w:rPr>
                <w:rFonts w:eastAsia="仿宋_GB2312"/>
                <w:kern w:val="0"/>
                <w:sz w:val="32"/>
                <w:szCs w:val="32"/>
                <w:lang w:bidi="ar"/>
              </w:rPr>
              <w:t>费活动</w:t>
            </w:r>
            <w:bookmarkStart w:id="3" w:name="_GoBack"/>
            <w:bookmarkEnd w:id="3"/>
            <w:r>
              <w:rPr>
                <w:rFonts w:eastAsia="仿宋_GB2312"/>
                <w:kern w:val="0"/>
                <w:sz w:val="32"/>
                <w:szCs w:val="32"/>
                <w:lang w:bidi="ar"/>
              </w:rPr>
              <w:t>相结合。广泛吸引本地商家参与，推动双方企业深度对接。在友城举办天津特色产品推介活动，展示天津优势产业。</w:t>
            </w:r>
            <w:r>
              <w:rPr>
                <w:rFonts w:eastAsia="仿宋_GB2312"/>
                <w:b/>
                <w:bCs/>
                <w:kern w:val="0"/>
                <w:sz w:val="32"/>
                <w:szCs w:val="32"/>
                <w:lang w:bidi="ar"/>
              </w:rPr>
              <w:t>四是</w:t>
            </w:r>
            <w:r>
              <w:rPr>
                <w:rFonts w:eastAsia="仿宋_GB2312"/>
                <w:kern w:val="0"/>
                <w:sz w:val="32"/>
                <w:szCs w:val="32"/>
                <w:lang w:bidi="ar"/>
              </w:rPr>
              <w:t>加强跨境电商平台合作</w:t>
            </w:r>
            <w:r>
              <w:rPr>
                <w:rFonts w:eastAsia="仿宋_GB2312" w:hint="eastAsia"/>
                <w:kern w:val="0"/>
                <w:sz w:val="32"/>
                <w:szCs w:val="32"/>
                <w:lang w:bidi="ar"/>
              </w:rPr>
              <w:t>。</w:t>
            </w:r>
            <w:r>
              <w:rPr>
                <w:rFonts w:eastAsia="仿宋_GB2312"/>
                <w:kern w:val="0"/>
                <w:sz w:val="32"/>
                <w:szCs w:val="32"/>
                <w:lang w:bidi="ar"/>
              </w:rPr>
              <w:t>结合友城实际，鼓励我市有实力的企业赴友城建立公共海外仓及商品展销中心。积极推动我市服贸和外包企业拓展对友城业务，深化服务贸易领域跨境合作。</w:t>
            </w:r>
            <w:r>
              <w:rPr>
                <w:rFonts w:eastAsia="仿宋_GB2312"/>
                <w:b/>
                <w:bCs/>
                <w:kern w:val="0"/>
                <w:sz w:val="32"/>
                <w:szCs w:val="32"/>
                <w:lang w:bidi="ar"/>
              </w:rPr>
              <w:t>五是</w:t>
            </w:r>
            <w:r>
              <w:rPr>
                <w:rFonts w:eastAsia="仿宋_GB2312"/>
                <w:kern w:val="0"/>
                <w:sz w:val="32"/>
                <w:szCs w:val="32"/>
                <w:lang w:bidi="ar"/>
              </w:rPr>
              <w:t>聚焦产业对接</w:t>
            </w:r>
            <w:r>
              <w:rPr>
                <w:rFonts w:eastAsia="仿宋_GB2312" w:hint="eastAsia"/>
                <w:kern w:val="0"/>
                <w:sz w:val="32"/>
                <w:szCs w:val="32"/>
                <w:lang w:bidi="ar"/>
              </w:rPr>
              <w:t>。</w:t>
            </w:r>
            <w:r>
              <w:rPr>
                <w:rFonts w:eastAsia="仿宋_GB2312"/>
                <w:kern w:val="0"/>
                <w:sz w:val="32"/>
                <w:szCs w:val="32"/>
                <w:lang w:bidi="ar"/>
              </w:rPr>
              <w:t>积极引导我市企业赴友城开展对外投资合作业务，同时大力支持我市已在友城开展投资合作的企业和项目发展，以境外项目合作成果助力当地与我市加深和缔结友城关系。</w:t>
            </w:r>
          </w:p>
          <w:p w:rsidR="006676EC" w:rsidRDefault="0048476A">
            <w:pPr>
              <w:spacing w:line="560" w:lineRule="exact"/>
              <w:ind w:rightChars="50" w:right="105" w:firstLineChars="200" w:firstLine="643"/>
              <w:rPr>
                <w:rFonts w:eastAsia="仿宋_GB2312"/>
                <w:kern w:val="0"/>
                <w:sz w:val="32"/>
                <w:szCs w:val="32"/>
                <w:lang w:bidi="ar"/>
              </w:rPr>
            </w:pPr>
            <w:r>
              <w:rPr>
                <w:rFonts w:eastAsia="仿宋_GB2312" w:hint="eastAsia"/>
                <w:b/>
                <w:bCs/>
                <w:sz w:val="32"/>
              </w:rPr>
              <w:t>在文化旅游领域</w:t>
            </w:r>
            <w:r>
              <w:rPr>
                <w:rFonts w:eastAsia="仿宋_GB2312" w:hint="eastAsia"/>
                <w:sz w:val="32"/>
              </w:rPr>
              <w:t>，</w:t>
            </w:r>
            <w:r>
              <w:rPr>
                <w:rFonts w:eastAsia="仿宋_GB2312" w:hint="eastAsia"/>
                <w:b/>
                <w:bCs/>
                <w:sz w:val="32"/>
              </w:rPr>
              <w:t>一是</w:t>
            </w:r>
            <w:r>
              <w:rPr>
                <w:rFonts w:eastAsia="仿宋_GB2312" w:hint="eastAsia"/>
                <w:sz w:val="32"/>
              </w:rPr>
              <w:t>提升文化交流层级。拓展非遗保护、艺术展演、博物馆交流等深度合作，以文塑旅，以旅彰文。</w:t>
            </w:r>
            <w:r>
              <w:rPr>
                <w:rFonts w:eastAsia="仿宋_GB2312"/>
                <w:kern w:val="0"/>
                <w:sz w:val="32"/>
                <w:szCs w:val="32"/>
                <w:lang w:bidi="ar"/>
              </w:rPr>
              <w:t>2024</w:t>
            </w:r>
            <w:r>
              <w:rPr>
                <w:rFonts w:eastAsia="仿宋_GB2312"/>
                <w:kern w:val="0"/>
                <w:sz w:val="32"/>
                <w:szCs w:val="32"/>
                <w:lang w:bidi="ar"/>
              </w:rPr>
              <w:t>年</w:t>
            </w:r>
            <w:r>
              <w:rPr>
                <w:rFonts w:eastAsia="仿宋_GB2312" w:hint="eastAsia"/>
                <w:kern w:val="0"/>
                <w:sz w:val="32"/>
                <w:szCs w:val="32"/>
                <w:lang w:bidi="ar"/>
              </w:rPr>
              <w:t>以来，先后赴美国费城</w:t>
            </w:r>
            <w:r>
              <w:rPr>
                <w:rFonts w:eastAsia="仿宋_GB2312"/>
                <w:kern w:val="0"/>
                <w:sz w:val="32"/>
                <w:szCs w:val="32"/>
                <w:lang w:bidi="ar"/>
              </w:rPr>
              <w:t>进行京剧折子戏表演，</w:t>
            </w:r>
            <w:r>
              <w:rPr>
                <w:rFonts w:eastAsia="仿宋_GB2312" w:hint="eastAsia"/>
                <w:kern w:val="0"/>
                <w:sz w:val="32"/>
                <w:szCs w:val="32"/>
                <w:lang w:bidi="ar"/>
              </w:rPr>
              <w:t>赴白俄罗斯莫吉廖夫州</w:t>
            </w:r>
            <w:r>
              <w:rPr>
                <w:rFonts w:eastAsia="仿宋_GB2312"/>
                <w:kern w:val="0"/>
                <w:sz w:val="32"/>
                <w:szCs w:val="32"/>
                <w:lang w:bidi="ar"/>
              </w:rPr>
              <w:t>举办</w:t>
            </w:r>
            <w:r>
              <w:rPr>
                <w:rFonts w:eastAsia="仿宋_GB2312"/>
                <w:kern w:val="0"/>
                <w:sz w:val="32"/>
                <w:szCs w:val="32"/>
                <w:lang w:bidi="ar"/>
              </w:rPr>
              <w:t>“</w:t>
            </w:r>
            <w:r>
              <w:rPr>
                <w:rFonts w:eastAsia="仿宋_GB2312"/>
                <w:kern w:val="0"/>
                <w:sz w:val="32"/>
                <w:szCs w:val="32"/>
                <w:lang w:bidi="ar"/>
              </w:rPr>
              <w:t>东方雅韵</w:t>
            </w:r>
            <w:r>
              <w:rPr>
                <w:rFonts w:eastAsia="仿宋_GB2312"/>
                <w:kern w:val="0"/>
                <w:sz w:val="32"/>
                <w:szCs w:val="32"/>
                <w:lang w:bidi="ar"/>
              </w:rPr>
              <w:t>”</w:t>
            </w:r>
            <w:r>
              <w:rPr>
                <w:rFonts w:eastAsia="仿宋_GB2312"/>
                <w:kern w:val="0"/>
                <w:sz w:val="32"/>
                <w:szCs w:val="32"/>
                <w:lang w:bidi="ar"/>
              </w:rPr>
              <w:t>精品艺术展览和旅游推介，通过传播中国优秀传统文化，展示天津城市形象，推介优质的文旅资源</w:t>
            </w:r>
            <w:r>
              <w:rPr>
                <w:rFonts w:eastAsia="仿宋_GB2312" w:hint="eastAsia"/>
                <w:kern w:val="0"/>
                <w:sz w:val="32"/>
                <w:szCs w:val="32"/>
                <w:lang w:bidi="ar"/>
              </w:rPr>
              <w:t>。</w:t>
            </w:r>
            <w:r>
              <w:rPr>
                <w:rFonts w:eastAsia="仿宋_GB2312"/>
                <w:kern w:val="0"/>
                <w:sz w:val="32"/>
                <w:szCs w:val="32"/>
                <w:lang w:bidi="ar"/>
              </w:rPr>
              <w:t>天津博物馆与莫吉廖夫州州立艺术博物馆签署合作备忘录。</w:t>
            </w:r>
            <w:r>
              <w:rPr>
                <w:rFonts w:eastAsia="仿宋_GB2312"/>
                <w:b/>
                <w:bCs/>
                <w:kern w:val="0"/>
                <w:sz w:val="32"/>
                <w:szCs w:val="32"/>
                <w:lang w:bidi="ar"/>
              </w:rPr>
              <w:t>二是</w:t>
            </w:r>
            <w:r>
              <w:rPr>
                <w:rFonts w:eastAsia="仿宋_GB2312"/>
                <w:kern w:val="0"/>
                <w:sz w:val="32"/>
                <w:szCs w:val="32"/>
                <w:lang w:bidi="ar"/>
              </w:rPr>
              <w:t>拓展文旅合作领域</w:t>
            </w:r>
            <w:r>
              <w:rPr>
                <w:rFonts w:eastAsia="仿宋_GB2312" w:hint="eastAsia"/>
                <w:kern w:val="0"/>
                <w:sz w:val="32"/>
                <w:szCs w:val="32"/>
                <w:lang w:bidi="ar"/>
              </w:rPr>
              <w:t>。在</w:t>
            </w:r>
            <w:r>
              <w:rPr>
                <w:rFonts w:eastAsia="仿宋_GB2312"/>
                <w:kern w:val="0"/>
                <w:sz w:val="32"/>
                <w:szCs w:val="32"/>
                <w:lang w:bidi="ar"/>
              </w:rPr>
              <w:t>西班牙马德里</w:t>
            </w:r>
            <w:r>
              <w:rPr>
                <w:rFonts w:eastAsia="仿宋_GB2312" w:hint="eastAsia"/>
                <w:kern w:val="0"/>
                <w:sz w:val="32"/>
                <w:szCs w:val="32"/>
                <w:lang w:bidi="ar"/>
              </w:rPr>
              <w:t>、</w:t>
            </w:r>
            <w:r>
              <w:rPr>
                <w:rFonts w:eastAsia="仿宋_GB2312"/>
                <w:kern w:val="0"/>
                <w:sz w:val="32"/>
                <w:szCs w:val="32"/>
                <w:lang w:bidi="ar"/>
              </w:rPr>
              <w:t>泰国曼谷举办</w:t>
            </w:r>
            <w:r>
              <w:rPr>
                <w:rFonts w:eastAsia="仿宋_GB2312"/>
                <w:kern w:val="0"/>
                <w:sz w:val="32"/>
                <w:szCs w:val="32"/>
                <w:lang w:bidi="ar"/>
              </w:rPr>
              <w:t>“</w:t>
            </w:r>
            <w:r>
              <w:rPr>
                <w:rFonts w:eastAsia="仿宋_GB2312"/>
                <w:kern w:val="0"/>
                <w:sz w:val="32"/>
                <w:szCs w:val="32"/>
                <w:lang w:bidi="ar"/>
              </w:rPr>
              <w:t>天涯共此时</w:t>
            </w:r>
            <w:r>
              <w:rPr>
                <w:rFonts w:eastAsia="仿宋_GB2312"/>
                <w:kern w:val="0"/>
                <w:sz w:val="32"/>
                <w:szCs w:val="32"/>
                <w:lang w:bidi="ar"/>
              </w:rPr>
              <w:t>”</w:t>
            </w:r>
            <w:r>
              <w:rPr>
                <w:rFonts w:eastAsia="仿宋_GB2312"/>
                <w:kern w:val="0"/>
                <w:sz w:val="32"/>
                <w:szCs w:val="32"/>
                <w:lang w:bidi="ar"/>
              </w:rPr>
              <w:t>中秋节文化体验交流活动，</w:t>
            </w:r>
            <w:r>
              <w:rPr>
                <w:rFonts w:eastAsia="仿宋_GB2312" w:hint="eastAsia"/>
                <w:kern w:val="0"/>
                <w:sz w:val="32"/>
                <w:szCs w:val="32"/>
                <w:lang w:bidi="ar"/>
              </w:rPr>
              <w:t>组织</w:t>
            </w:r>
            <w:r>
              <w:rPr>
                <w:rFonts w:eastAsia="仿宋_GB2312"/>
                <w:kern w:val="0"/>
                <w:sz w:val="32"/>
                <w:szCs w:val="32"/>
                <w:lang w:bidi="ar"/>
              </w:rPr>
              <w:t>中外嘉宾参观</w:t>
            </w:r>
            <w:r>
              <w:rPr>
                <w:rFonts w:eastAsia="仿宋_GB2312"/>
                <w:kern w:val="0"/>
                <w:sz w:val="32"/>
                <w:szCs w:val="32"/>
                <w:lang w:bidi="ar"/>
              </w:rPr>
              <w:t>“</w:t>
            </w:r>
            <w:r>
              <w:rPr>
                <w:rFonts w:eastAsia="仿宋_GB2312"/>
                <w:kern w:val="0"/>
                <w:sz w:val="32"/>
                <w:szCs w:val="32"/>
                <w:lang w:bidi="ar"/>
              </w:rPr>
              <w:t>东方雅韵</w:t>
            </w:r>
            <w:r>
              <w:rPr>
                <w:rFonts w:eastAsia="仿宋_GB2312"/>
                <w:kern w:val="0"/>
                <w:sz w:val="32"/>
                <w:szCs w:val="32"/>
                <w:lang w:bidi="ar"/>
              </w:rPr>
              <w:t>——</w:t>
            </w:r>
            <w:r>
              <w:rPr>
                <w:rFonts w:eastAsia="仿宋_GB2312"/>
                <w:kern w:val="0"/>
                <w:sz w:val="32"/>
                <w:szCs w:val="32"/>
                <w:lang w:bidi="ar"/>
              </w:rPr>
              <w:t>中国文化艺术展</w:t>
            </w:r>
            <w:r>
              <w:rPr>
                <w:rFonts w:eastAsia="仿宋_GB2312"/>
                <w:kern w:val="0"/>
                <w:sz w:val="32"/>
                <w:szCs w:val="32"/>
                <w:lang w:bidi="ar"/>
              </w:rPr>
              <w:t>”</w:t>
            </w:r>
            <w:r>
              <w:rPr>
                <w:rFonts w:eastAsia="仿宋_GB2312"/>
                <w:kern w:val="0"/>
                <w:sz w:val="32"/>
                <w:szCs w:val="32"/>
                <w:lang w:bidi="ar"/>
              </w:rPr>
              <w:t>，近距离体验杨柳青年画拓印、团扇风筝上色、桂发祥</w:t>
            </w:r>
            <w:r>
              <w:rPr>
                <w:rFonts w:eastAsia="仿宋_GB2312"/>
                <w:kern w:val="0"/>
                <w:sz w:val="32"/>
                <w:szCs w:val="32"/>
                <w:lang w:bidi="ar"/>
              </w:rPr>
              <w:lastRenderedPageBreak/>
              <w:t>麻花制作、泥人张彩塑绘制与老津卫茉莉花茶品鉴等天津非遗特色项目，感受津味文化风韵、同庆中国中秋佳节。</w:t>
            </w:r>
            <w:r>
              <w:rPr>
                <w:rFonts w:eastAsia="仿宋_GB2312"/>
                <w:kern w:val="0"/>
                <w:sz w:val="32"/>
                <w:szCs w:val="32"/>
                <w:lang w:bidi="ar"/>
              </w:rPr>
              <w:t>2025</w:t>
            </w:r>
            <w:r>
              <w:rPr>
                <w:rFonts w:eastAsia="仿宋_GB2312"/>
                <w:kern w:val="0"/>
                <w:sz w:val="32"/>
                <w:szCs w:val="32"/>
                <w:lang w:bidi="ar"/>
              </w:rPr>
              <w:t>年，</w:t>
            </w:r>
            <w:r>
              <w:rPr>
                <w:rFonts w:eastAsia="仿宋_GB2312" w:hint="eastAsia"/>
                <w:kern w:val="0"/>
                <w:sz w:val="32"/>
                <w:szCs w:val="32"/>
                <w:lang w:bidi="ar"/>
              </w:rPr>
              <w:t>将赴白俄罗斯明斯克等地</w:t>
            </w:r>
            <w:r>
              <w:rPr>
                <w:rFonts w:eastAsia="仿宋_GB2312"/>
                <w:kern w:val="0"/>
                <w:sz w:val="32"/>
                <w:szCs w:val="32"/>
                <w:lang w:bidi="ar"/>
              </w:rPr>
              <w:t>举办</w:t>
            </w:r>
            <w:r>
              <w:rPr>
                <w:rFonts w:eastAsia="仿宋_GB2312"/>
                <w:kern w:val="0"/>
                <w:sz w:val="32"/>
                <w:szCs w:val="32"/>
                <w:lang w:bidi="ar"/>
              </w:rPr>
              <w:t>“</w:t>
            </w:r>
            <w:r>
              <w:rPr>
                <w:rFonts w:eastAsia="仿宋_GB2312"/>
                <w:kern w:val="0"/>
                <w:sz w:val="32"/>
                <w:szCs w:val="32"/>
                <w:lang w:bidi="ar"/>
              </w:rPr>
              <w:t>茶和天下</w:t>
            </w:r>
            <w:r>
              <w:rPr>
                <w:rFonts w:eastAsia="仿宋_GB2312"/>
                <w:kern w:val="0"/>
                <w:sz w:val="32"/>
                <w:szCs w:val="32"/>
                <w:lang w:bidi="ar"/>
              </w:rPr>
              <w:t>”</w:t>
            </w:r>
            <w:r>
              <w:rPr>
                <w:rFonts w:eastAsia="仿宋_GB2312"/>
                <w:kern w:val="0"/>
                <w:sz w:val="32"/>
                <w:szCs w:val="32"/>
                <w:lang w:bidi="ar"/>
              </w:rPr>
              <w:t>天津文旅体验活动，通过文化</w:t>
            </w:r>
            <w:r>
              <w:rPr>
                <w:rFonts w:eastAsia="仿宋_GB2312"/>
                <w:kern w:val="0"/>
                <w:sz w:val="32"/>
                <w:szCs w:val="32"/>
                <w:lang w:bidi="ar"/>
              </w:rPr>
              <w:t>+</w:t>
            </w:r>
            <w:r>
              <w:rPr>
                <w:rFonts w:eastAsia="仿宋_GB2312"/>
                <w:kern w:val="0"/>
                <w:sz w:val="32"/>
                <w:szCs w:val="32"/>
                <w:lang w:bidi="ar"/>
              </w:rPr>
              <w:t>旅游的方式，向当地民众展示天津的优秀传统文化和丰富的旅游资源。</w:t>
            </w:r>
          </w:p>
          <w:p w:rsidR="006676EC" w:rsidRDefault="0048476A">
            <w:pPr>
              <w:spacing w:line="560" w:lineRule="exact"/>
              <w:ind w:rightChars="50" w:right="105" w:firstLineChars="200" w:firstLine="643"/>
              <w:rPr>
                <w:rFonts w:eastAsia="仿宋_GB2312"/>
                <w:sz w:val="32"/>
              </w:rPr>
            </w:pPr>
            <w:r>
              <w:rPr>
                <w:rFonts w:eastAsia="仿宋_GB2312" w:hint="eastAsia"/>
                <w:b/>
                <w:bCs/>
                <w:sz w:val="32"/>
              </w:rPr>
              <w:t>在教育领域</w:t>
            </w:r>
            <w:r>
              <w:rPr>
                <w:rFonts w:eastAsia="仿宋_GB2312" w:hint="eastAsia"/>
                <w:sz w:val="32"/>
              </w:rPr>
              <w:t>，</w:t>
            </w:r>
            <w:r>
              <w:rPr>
                <w:rFonts w:eastAsia="仿宋_GB2312" w:hint="eastAsia"/>
                <w:b/>
                <w:bCs/>
                <w:sz w:val="32"/>
              </w:rPr>
              <w:t>一是</w:t>
            </w:r>
            <w:r>
              <w:rPr>
                <w:rFonts w:eastAsia="仿宋_GB2312" w:hint="eastAsia"/>
                <w:sz w:val="32"/>
              </w:rPr>
              <w:t>深化校际合作。大力支持天津音乐学院、天津农学院、天津中医药大学等高校与美国俄勒冈州、费城、日本神户、乌兹别克斯坦塔什干等友城合作，积极开展中外师生交流互访，签署合作协议，建立校际友好关系，深化交流互鉴。</w:t>
            </w:r>
            <w:r>
              <w:rPr>
                <w:rFonts w:eastAsia="仿宋_GB2312" w:hint="eastAsia"/>
                <w:b/>
                <w:bCs/>
                <w:sz w:val="32"/>
              </w:rPr>
              <w:t>二是</w:t>
            </w:r>
            <w:r>
              <w:rPr>
                <w:rFonts w:eastAsia="仿宋_GB2312" w:hint="eastAsia"/>
                <w:sz w:val="32"/>
              </w:rPr>
              <w:t>做强天津友城教育品牌。充分发挥孔子学院国际友城人文交流的综合平台作用。开展“中文</w:t>
            </w:r>
            <w:r>
              <w:rPr>
                <w:rFonts w:eastAsia="仿宋_GB2312" w:hint="eastAsia"/>
                <w:sz w:val="32"/>
              </w:rPr>
              <w:t>+</w:t>
            </w:r>
            <w:r>
              <w:rPr>
                <w:rFonts w:eastAsia="仿宋_GB2312" w:hint="eastAsia"/>
                <w:sz w:val="32"/>
              </w:rPr>
              <w:t>”课程，开展以“中文</w:t>
            </w:r>
            <w:r>
              <w:rPr>
                <w:rFonts w:eastAsia="仿宋_GB2312" w:hint="eastAsia"/>
                <w:sz w:val="32"/>
              </w:rPr>
              <w:t>+</w:t>
            </w:r>
            <w:r>
              <w:rPr>
                <w:rFonts w:eastAsia="仿宋_GB2312" w:hint="eastAsia"/>
                <w:sz w:val="32"/>
              </w:rPr>
              <w:t>中医学”为特色的国际中文教育。</w:t>
            </w:r>
            <w:r>
              <w:rPr>
                <w:rFonts w:eastAsia="仿宋_GB2312" w:hint="eastAsia"/>
                <w:b/>
                <w:bCs/>
                <w:sz w:val="32"/>
              </w:rPr>
              <w:t>三是</w:t>
            </w:r>
            <w:r>
              <w:rPr>
                <w:rFonts w:eastAsia="仿宋_GB2312" w:hint="eastAsia"/>
                <w:sz w:val="32"/>
              </w:rPr>
              <w:t>加强友城青少年交流交往。大力实施“留学天津”计划，打造“津彩行”教育国际交流国际品牌，营造良好的留学环境，积极吸引国际友城优秀青少年来津学习交流，促进中外人文交流和文明互鉴。</w:t>
            </w:r>
          </w:p>
          <w:p w:rsidR="006676EC" w:rsidRDefault="0048476A">
            <w:pPr>
              <w:spacing w:line="560" w:lineRule="exact"/>
              <w:ind w:rightChars="50" w:right="105" w:firstLineChars="200" w:firstLine="643"/>
              <w:rPr>
                <w:rFonts w:eastAsia="仿宋_GB2312"/>
                <w:kern w:val="0"/>
                <w:sz w:val="32"/>
                <w:szCs w:val="32"/>
                <w:lang w:bidi="ar"/>
              </w:rPr>
            </w:pPr>
            <w:r>
              <w:rPr>
                <w:rFonts w:eastAsia="仿宋_GB2312" w:hint="eastAsia"/>
                <w:b/>
                <w:bCs/>
                <w:sz w:val="32"/>
              </w:rPr>
              <w:t>在科技领域，一是</w:t>
            </w:r>
            <w:r>
              <w:rPr>
                <w:rFonts w:eastAsia="仿宋_GB2312"/>
                <w:kern w:val="0"/>
                <w:sz w:val="32"/>
                <w:szCs w:val="32"/>
                <w:lang w:bidi="ar"/>
              </w:rPr>
              <w:t>深化拓展</w:t>
            </w:r>
            <w:r>
              <w:rPr>
                <w:rFonts w:eastAsia="仿宋_GB2312" w:hint="eastAsia"/>
                <w:kern w:val="0"/>
                <w:sz w:val="32"/>
                <w:szCs w:val="32"/>
                <w:lang w:bidi="ar"/>
              </w:rPr>
              <w:t>友城间</w:t>
            </w:r>
            <w:r>
              <w:rPr>
                <w:rFonts w:eastAsia="仿宋_GB2312"/>
                <w:kern w:val="0"/>
                <w:sz w:val="32"/>
                <w:szCs w:val="32"/>
                <w:lang w:bidi="ar"/>
              </w:rPr>
              <w:t>科技合作渠道。</w:t>
            </w:r>
            <w:r>
              <w:rPr>
                <w:rFonts w:eastAsia="仿宋_GB2312"/>
                <w:kern w:val="0"/>
                <w:sz w:val="32"/>
                <w:szCs w:val="32"/>
                <w:lang w:bidi="ar"/>
              </w:rPr>
              <w:t>2024</w:t>
            </w:r>
            <w:r>
              <w:rPr>
                <w:rFonts w:eastAsia="仿宋_GB2312"/>
                <w:kern w:val="0"/>
                <w:sz w:val="32"/>
                <w:szCs w:val="32"/>
                <w:lang w:bidi="ar"/>
              </w:rPr>
              <w:t>年，与法国尼斯市索菲亚科技园、澳大利亚墨尔本市澳中科学家创业协会、韩国首尔市韩中新科人才交流中心等国际友城构建坚实合作渠道与交流模式，策划举办论坛、人才培训等活动。</w:t>
            </w:r>
            <w:r>
              <w:rPr>
                <w:rFonts w:eastAsia="仿宋_GB2312" w:hint="eastAsia"/>
                <w:kern w:val="0"/>
                <w:sz w:val="32"/>
                <w:szCs w:val="32"/>
                <w:lang w:bidi="ar"/>
              </w:rPr>
              <w:t>今后将</w:t>
            </w:r>
            <w:r>
              <w:rPr>
                <w:rFonts w:eastAsia="仿宋_GB2312"/>
                <w:kern w:val="0"/>
                <w:sz w:val="32"/>
                <w:szCs w:val="32"/>
                <w:lang w:bidi="ar"/>
              </w:rPr>
              <w:t>持续恢复对接、开辟深化友城间科技合作，策划出访交流活动，推动我市有关部门、企业、园区赴国际友城开展科技交流合作。</w:t>
            </w:r>
            <w:r>
              <w:rPr>
                <w:rFonts w:eastAsia="仿宋_GB2312"/>
                <w:b/>
                <w:bCs/>
                <w:kern w:val="0"/>
                <w:sz w:val="32"/>
                <w:szCs w:val="32"/>
                <w:lang w:bidi="ar"/>
              </w:rPr>
              <w:t>二是</w:t>
            </w:r>
            <w:r>
              <w:rPr>
                <w:rFonts w:eastAsia="仿宋_GB2312"/>
                <w:kern w:val="0"/>
                <w:sz w:val="32"/>
                <w:szCs w:val="32"/>
                <w:lang w:bidi="ar"/>
              </w:rPr>
              <w:t>策划组织多元化国际活动。</w:t>
            </w:r>
            <w:r>
              <w:rPr>
                <w:rFonts w:eastAsia="仿宋_GB2312"/>
                <w:kern w:val="0"/>
                <w:sz w:val="32"/>
                <w:szCs w:val="32"/>
                <w:lang w:bidi="ar"/>
              </w:rPr>
              <w:t>2024</w:t>
            </w:r>
            <w:r>
              <w:rPr>
                <w:rFonts w:eastAsia="仿宋_GB2312"/>
                <w:kern w:val="0"/>
                <w:sz w:val="32"/>
                <w:szCs w:val="32"/>
                <w:lang w:bidi="ar"/>
              </w:rPr>
              <w:t>年在天开园成功举办</w:t>
            </w:r>
            <w:r>
              <w:rPr>
                <w:rFonts w:eastAsia="仿宋_GB2312"/>
                <w:kern w:val="0"/>
                <w:sz w:val="32"/>
                <w:szCs w:val="32"/>
                <w:lang w:bidi="ar"/>
              </w:rPr>
              <w:t>“</w:t>
            </w:r>
            <w:r>
              <w:rPr>
                <w:rFonts w:eastAsia="仿宋_GB2312"/>
                <w:kern w:val="0"/>
                <w:sz w:val="32"/>
                <w:szCs w:val="32"/>
                <w:lang w:bidi="ar"/>
              </w:rPr>
              <w:t>智汇天</w:t>
            </w:r>
            <w:r>
              <w:rPr>
                <w:rFonts w:eastAsia="仿宋_GB2312"/>
                <w:kern w:val="0"/>
                <w:sz w:val="32"/>
                <w:szCs w:val="32"/>
                <w:lang w:bidi="ar"/>
              </w:rPr>
              <w:lastRenderedPageBreak/>
              <w:t>开</w:t>
            </w:r>
            <w:r>
              <w:rPr>
                <w:rFonts w:eastAsia="仿宋_GB2312"/>
                <w:kern w:val="0"/>
                <w:sz w:val="32"/>
                <w:szCs w:val="32"/>
                <w:lang w:bidi="ar"/>
              </w:rPr>
              <w:t>·</w:t>
            </w:r>
            <w:r>
              <w:rPr>
                <w:rFonts w:eastAsia="仿宋_GB2312"/>
                <w:kern w:val="0"/>
                <w:sz w:val="32"/>
                <w:szCs w:val="32"/>
                <w:lang w:bidi="ar"/>
              </w:rPr>
              <w:t>墨尔本临床试验服务宣讲会</w:t>
            </w:r>
            <w:r>
              <w:rPr>
                <w:rFonts w:eastAsia="仿宋_GB2312"/>
                <w:kern w:val="0"/>
                <w:sz w:val="32"/>
                <w:szCs w:val="32"/>
                <w:lang w:bidi="ar"/>
              </w:rPr>
              <w:t>”</w:t>
            </w:r>
            <w:r>
              <w:rPr>
                <w:rFonts w:eastAsia="仿宋_GB2312"/>
                <w:kern w:val="0"/>
                <w:sz w:val="32"/>
                <w:szCs w:val="32"/>
                <w:lang w:bidi="ar"/>
              </w:rPr>
              <w:t>，促进津墨两市机构和企业间交流，为两地在生物医药和临床医学领域的合作创造机遇</w:t>
            </w:r>
            <w:r>
              <w:rPr>
                <w:rFonts w:eastAsia="仿宋_GB2312" w:hint="eastAsia"/>
                <w:kern w:val="0"/>
                <w:sz w:val="32"/>
                <w:szCs w:val="32"/>
                <w:lang w:bidi="ar"/>
              </w:rPr>
              <w:t>。今后将邀请国际友城的知名科技园区、科技型企业、组织等访津，在津举办多元化国际科技人文交流活动，与天开高教科创园及我市科技型企业沟通对接，推动一批优质科技成果在津聚集。</w:t>
            </w:r>
          </w:p>
          <w:p w:rsidR="006676EC" w:rsidRDefault="0048476A">
            <w:pPr>
              <w:spacing w:line="560" w:lineRule="exact"/>
              <w:ind w:rightChars="50" w:right="105" w:firstLineChars="200" w:firstLine="643"/>
              <w:rPr>
                <w:rFonts w:eastAsia="仿宋_GB2312"/>
                <w:sz w:val="32"/>
              </w:rPr>
            </w:pPr>
            <w:r>
              <w:rPr>
                <w:rFonts w:eastAsia="仿宋_GB2312" w:hint="eastAsia"/>
                <w:b/>
                <w:bCs/>
                <w:kern w:val="0"/>
                <w:sz w:val="32"/>
                <w:szCs w:val="32"/>
                <w:lang w:bidi="ar"/>
              </w:rPr>
              <w:t>在对外宣传领域，一是</w:t>
            </w:r>
            <w:r>
              <w:rPr>
                <w:rFonts w:eastAsia="仿宋_GB2312" w:hint="eastAsia"/>
                <w:sz w:val="32"/>
                <w:szCs w:val="32"/>
              </w:rPr>
              <w:t>大力加强友城外宣平台建设，更新编印《天津友好城市概览》《外国人在津生活百事通》等外宣材料，对外讲好中国式现代化的天津篇章。用好“天下之津”微信公众号、视频号，开设“一带一路”上的“津”彩、大道不孤等专题专栏，继续指导海河传媒中心开展“友城天下行”采访报道活动。</w:t>
            </w:r>
            <w:r>
              <w:rPr>
                <w:rFonts w:eastAsia="仿宋_GB2312" w:hint="eastAsia"/>
                <w:b/>
                <w:bCs/>
                <w:sz w:val="32"/>
                <w:szCs w:val="32"/>
              </w:rPr>
              <w:t>二是</w:t>
            </w:r>
            <w:r>
              <w:rPr>
                <w:rFonts w:eastAsia="仿宋_GB2312" w:hint="eastAsia"/>
                <w:sz w:val="32"/>
                <w:szCs w:val="32"/>
              </w:rPr>
              <w:t>持续做好“身边的国际社会”工作。</w:t>
            </w:r>
            <w:r>
              <w:rPr>
                <w:rFonts w:eastAsia="仿宋_GB2312" w:hint="eastAsia"/>
                <w:sz w:val="32"/>
                <w:szCs w:val="32"/>
                <w:lang w:val="en"/>
              </w:rPr>
              <w:t>举办</w:t>
            </w:r>
            <w:r>
              <w:rPr>
                <w:rFonts w:eastAsia="仿宋_GB2312" w:hint="eastAsia"/>
                <w:sz w:val="32"/>
                <w:szCs w:val="32"/>
              </w:rPr>
              <w:t>“身边的国际社会”感知天津、新春招待会、农民丰收节、海洋净滩等</w:t>
            </w:r>
            <w:r>
              <w:rPr>
                <w:rFonts w:eastAsia="仿宋_GB2312" w:hint="eastAsia"/>
                <w:sz w:val="32"/>
                <w:szCs w:val="32"/>
                <w:lang w:val="en"/>
              </w:rPr>
              <w:t>丰富多彩的民间外交活动，</w:t>
            </w:r>
            <w:r>
              <w:rPr>
                <w:rFonts w:eastAsia="仿宋_GB2312" w:hint="eastAsia"/>
                <w:sz w:val="32"/>
                <w:szCs w:val="32"/>
              </w:rPr>
              <w:t>主动对接来津、在津外籍人员，为“身边的国际社会”提供多语种服务和保障，提高市民对友城了解度、支持度、参与度，促进友城民心相通。</w:t>
            </w:r>
            <w:r>
              <w:rPr>
                <w:rFonts w:eastAsia="仿宋_GB2312" w:hint="eastAsia"/>
                <w:b/>
                <w:bCs/>
                <w:sz w:val="32"/>
                <w:szCs w:val="32"/>
                <w:lang w:val="en"/>
              </w:rPr>
              <w:t>三是</w:t>
            </w:r>
            <w:r>
              <w:rPr>
                <w:rFonts w:eastAsia="仿宋_GB2312" w:hint="eastAsia"/>
                <w:sz w:val="32"/>
                <w:szCs w:val="32"/>
                <w:lang w:val="en"/>
              </w:rPr>
              <w:t>持续巩固深化传统友好关系。</w:t>
            </w:r>
            <w:r>
              <w:rPr>
                <w:rFonts w:eastAsia="仿宋_GB2312" w:hint="eastAsia"/>
                <w:sz w:val="32"/>
                <w:szCs w:val="32"/>
              </w:rPr>
              <w:t>继续保持交往热度，与友</w:t>
            </w:r>
            <w:r>
              <w:rPr>
                <w:rFonts w:eastAsia="仿宋_GB2312" w:hint="eastAsia"/>
                <w:color w:val="000000"/>
                <w:kern w:val="0"/>
                <w:sz w:val="32"/>
                <w:szCs w:val="32"/>
              </w:rPr>
              <w:t>城政要、友好组织等互致信函和新春祝福，表达深化交往意愿。培育和借助更多国外机构组织、驻外使馆、驻华使馆和国际友人力量，调动各领域民间外交主体力量，不断扩大国际友城友好人脉。</w:t>
            </w:r>
            <w:r>
              <w:rPr>
                <w:rFonts w:eastAsia="仿宋_GB2312" w:hint="eastAsia"/>
                <w:b/>
                <w:bCs/>
                <w:sz w:val="32"/>
              </w:rPr>
              <w:t>四是</w:t>
            </w:r>
            <w:r>
              <w:rPr>
                <w:rFonts w:eastAsia="仿宋_GB2312" w:hint="eastAsia"/>
                <w:sz w:val="32"/>
              </w:rPr>
              <w:t>展示特色优势资源。积极构建友城外宣平台矩阵，深入挖掘“山、海、河、楼”等特色文旅资源，策划打造“天津始‘钟’‘响’你”文旅</w:t>
            </w:r>
            <w:r>
              <w:rPr>
                <w:rFonts w:eastAsia="仿宋_GB2312" w:hint="eastAsia"/>
                <w:sz w:val="32"/>
              </w:rPr>
              <w:t>IP</w:t>
            </w:r>
            <w:r>
              <w:rPr>
                <w:rFonts w:eastAsia="仿宋_GB2312" w:hint="eastAsia"/>
                <w:sz w:val="32"/>
              </w:rPr>
              <w:t>，聚焦四季、二十四节气和节庆假期等主题、节点，推出“欢乐四季游</w:t>
            </w:r>
            <w:r>
              <w:rPr>
                <w:rFonts w:eastAsia="仿宋_GB2312" w:hint="eastAsia"/>
                <w:sz w:val="32"/>
              </w:rPr>
              <w:t xml:space="preserve"> </w:t>
            </w:r>
            <w:r>
              <w:rPr>
                <w:rFonts w:eastAsia="仿宋_GB2312" w:hint="eastAsia"/>
                <w:sz w:val="32"/>
              </w:rPr>
              <w:t>天津常走走”</w:t>
            </w:r>
            <w:r>
              <w:rPr>
                <w:rFonts w:eastAsia="仿宋_GB2312" w:hint="eastAsia"/>
                <w:sz w:val="32"/>
              </w:rPr>
              <w:lastRenderedPageBreak/>
              <w:t>主题系列文旅活动。通过海外平台进行宣传推介，扩大天津的城市知名度和影响力。</w:t>
            </w:r>
          </w:p>
          <w:p w:rsidR="006676EC" w:rsidRDefault="006676EC">
            <w:pPr>
              <w:spacing w:line="560" w:lineRule="exact"/>
              <w:ind w:rightChars="50" w:right="105" w:firstLineChars="200" w:firstLine="640"/>
              <w:rPr>
                <w:rFonts w:eastAsia="仿宋_GB2312"/>
                <w:sz w:val="32"/>
              </w:rPr>
            </w:pPr>
          </w:p>
        </w:tc>
      </w:tr>
      <w:tr w:rsidR="006676EC">
        <w:tc>
          <w:tcPr>
            <w:tcW w:w="5000" w:type="pct"/>
            <w:gridSpan w:val="6"/>
            <w:tcBorders>
              <w:tl2br w:val="nil"/>
              <w:tr2bl w:val="nil"/>
            </w:tcBorders>
          </w:tcPr>
          <w:p w:rsidR="006676EC" w:rsidRDefault="006676EC">
            <w:pPr>
              <w:spacing w:line="480" w:lineRule="exact"/>
              <w:ind w:rightChars="50" w:right="105"/>
              <w:rPr>
                <w:rFonts w:eastAsia="仿宋_GB2312"/>
                <w:sz w:val="32"/>
              </w:rPr>
            </w:pPr>
          </w:p>
          <w:p w:rsidR="007316B5" w:rsidRDefault="007316B5">
            <w:pPr>
              <w:spacing w:line="480" w:lineRule="exact"/>
              <w:ind w:rightChars="50" w:right="105"/>
              <w:jc w:val="right"/>
              <w:rPr>
                <w:rFonts w:eastAsia="仿宋_GB2312"/>
                <w:sz w:val="32"/>
              </w:rPr>
            </w:pPr>
            <w:bookmarkStart w:id="4" w:name="now"/>
          </w:p>
          <w:p w:rsidR="007316B5" w:rsidRDefault="007316B5">
            <w:pPr>
              <w:spacing w:line="480" w:lineRule="exact"/>
              <w:ind w:rightChars="50" w:right="105"/>
              <w:jc w:val="right"/>
              <w:rPr>
                <w:rFonts w:eastAsia="仿宋_GB2312"/>
                <w:sz w:val="32"/>
              </w:rPr>
            </w:pPr>
          </w:p>
          <w:p w:rsidR="006676EC" w:rsidRDefault="00FF468D" w:rsidP="00FF468D">
            <w:pPr>
              <w:spacing w:line="480" w:lineRule="exact"/>
              <w:ind w:rightChars="50" w:right="105"/>
              <w:jc w:val="center"/>
              <w:rPr>
                <w:rFonts w:eastAsia="仿宋_GB2312"/>
                <w:sz w:val="32"/>
              </w:rPr>
            </w:pPr>
            <w:r>
              <w:rPr>
                <w:rFonts w:eastAsia="仿宋_GB2312" w:hint="eastAsia"/>
                <w:sz w:val="32"/>
              </w:rPr>
              <w:t xml:space="preserve">                          </w:t>
            </w:r>
            <w:r w:rsidR="0048476A">
              <w:rPr>
                <w:rFonts w:eastAsia="仿宋_GB2312"/>
                <w:sz w:val="32"/>
              </w:rPr>
              <w:t>2025</w:t>
            </w:r>
            <w:r w:rsidR="0048476A">
              <w:rPr>
                <w:rFonts w:eastAsia="仿宋_GB2312"/>
                <w:sz w:val="32"/>
              </w:rPr>
              <w:t>年</w:t>
            </w:r>
            <w:r w:rsidR="005351EE">
              <w:rPr>
                <w:rFonts w:eastAsia="仿宋_GB2312" w:hint="eastAsia"/>
                <w:sz w:val="32"/>
              </w:rPr>
              <w:t>4</w:t>
            </w:r>
            <w:r w:rsidR="0048476A">
              <w:rPr>
                <w:rFonts w:eastAsia="仿宋_GB2312"/>
                <w:sz w:val="32"/>
              </w:rPr>
              <w:t>月</w:t>
            </w:r>
            <w:r>
              <w:rPr>
                <w:rFonts w:eastAsia="仿宋_GB2312" w:hint="eastAsia"/>
                <w:sz w:val="32"/>
              </w:rPr>
              <w:t>2</w:t>
            </w:r>
            <w:r w:rsidR="0048476A">
              <w:rPr>
                <w:rFonts w:eastAsia="仿宋_GB2312"/>
                <w:sz w:val="32"/>
              </w:rPr>
              <w:t>日</w:t>
            </w:r>
            <w:bookmarkEnd w:id="4"/>
          </w:p>
          <w:p w:rsidR="006676EC" w:rsidRDefault="006676EC">
            <w:pPr>
              <w:spacing w:line="480" w:lineRule="exact"/>
              <w:ind w:rightChars="50" w:right="105"/>
              <w:jc w:val="right"/>
              <w:rPr>
                <w:rFonts w:eastAsia="仿宋_GB2312"/>
                <w:sz w:val="32"/>
              </w:rPr>
            </w:pPr>
          </w:p>
        </w:tc>
      </w:tr>
      <w:tr w:rsidR="006676EC">
        <w:trPr>
          <w:trHeight w:val="244"/>
        </w:trPr>
        <w:tc>
          <w:tcPr>
            <w:tcW w:w="5000" w:type="pct"/>
            <w:gridSpan w:val="6"/>
            <w:tcBorders>
              <w:tl2br w:val="nil"/>
              <w:tr2bl w:val="nil"/>
            </w:tcBorders>
            <w:vAlign w:val="bottom"/>
          </w:tcPr>
          <w:p w:rsidR="006676EC" w:rsidRDefault="0048476A">
            <w:pPr>
              <w:spacing w:line="480" w:lineRule="exact"/>
              <w:ind w:rightChars="50" w:right="105"/>
              <w:rPr>
                <w:rFonts w:eastAsia="仿宋_GB2312"/>
                <w:sz w:val="32"/>
              </w:rPr>
            </w:pPr>
            <w:r>
              <w:rPr>
                <w:rFonts w:eastAsia="仿宋_GB2312"/>
                <w:sz w:val="32"/>
                <w:szCs w:val="18"/>
              </w:rPr>
              <w:t xml:space="preserve"> </w:t>
            </w:r>
            <w:bookmarkStart w:id="5" w:name="fyr"/>
            <w:bookmarkEnd w:id="5"/>
          </w:p>
        </w:tc>
      </w:tr>
      <w:tr w:rsidR="006676EC">
        <w:trPr>
          <w:trHeight w:val="606"/>
        </w:trPr>
        <w:tc>
          <w:tcPr>
            <w:tcW w:w="950" w:type="pct"/>
            <w:tcBorders>
              <w:tl2br w:val="nil"/>
              <w:tr2bl w:val="nil"/>
            </w:tcBorders>
          </w:tcPr>
          <w:p w:rsidR="006676EC" w:rsidRDefault="0048476A">
            <w:pPr>
              <w:spacing w:line="480" w:lineRule="exact"/>
              <w:ind w:rightChars="50" w:right="105"/>
              <w:rPr>
                <w:rFonts w:eastAsia="仿宋_GB2312"/>
                <w:sz w:val="32"/>
              </w:rPr>
            </w:pPr>
            <w:r>
              <w:rPr>
                <w:rFonts w:eastAsia="仿宋_GB2312"/>
                <w:sz w:val="32"/>
              </w:rPr>
              <w:t>工作人员：</w:t>
            </w:r>
          </w:p>
        </w:tc>
        <w:tc>
          <w:tcPr>
            <w:tcW w:w="1476" w:type="pct"/>
            <w:tcBorders>
              <w:tl2br w:val="nil"/>
              <w:tr2bl w:val="nil"/>
            </w:tcBorders>
          </w:tcPr>
          <w:p w:rsidR="006676EC" w:rsidRDefault="0048476A">
            <w:pPr>
              <w:spacing w:line="480" w:lineRule="exact"/>
              <w:ind w:rightChars="50" w:right="105"/>
              <w:rPr>
                <w:rFonts w:eastAsia="仿宋_GB2312"/>
                <w:sz w:val="32"/>
              </w:rPr>
            </w:pPr>
            <w:r>
              <w:rPr>
                <w:rFonts w:eastAsia="仿宋_GB2312"/>
                <w:sz w:val="32"/>
              </w:rPr>
              <w:t>翟晓磊</w:t>
            </w:r>
          </w:p>
        </w:tc>
        <w:tc>
          <w:tcPr>
            <w:tcW w:w="977" w:type="pct"/>
            <w:gridSpan w:val="2"/>
            <w:tcBorders>
              <w:tl2br w:val="nil"/>
              <w:tr2bl w:val="nil"/>
            </w:tcBorders>
          </w:tcPr>
          <w:p w:rsidR="006676EC" w:rsidRDefault="0048476A">
            <w:pPr>
              <w:spacing w:line="480" w:lineRule="exact"/>
              <w:ind w:rightChars="50" w:right="105"/>
              <w:rPr>
                <w:rFonts w:eastAsia="仿宋_GB2312"/>
                <w:sz w:val="32"/>
              </w:rPr>
            </w:pPr>
            <w:r>
              <w:rPr>
                <w:rFonts w:eastAsia="仿宋_GB2312"/>
                <w:sz w:val="32"/>
              </w:rPr>
              <w:t>联系电话：</w:t>
            </w:r>
          </w:p>
        </w:tc>
        <w:tc>
          <w:tcPr>
            <w:tcW w:w="1595" w:type="pct"/>
            <w:gridSpan w:val="2"/>
            <w:tcBorders>
              <w:tl2br w:val="nil"/>
              <w:tr2bl w:val="nil"/>
            </w:tcBorders>
          </w:tcPr>
          <w:p w:rsidR="006676EC" w:rsidRDefault="0048476A">
            <w:pPr>
              <w:spacing w:line="480" w:lineRule="exact"/>
              <w:ind w:rightChars="50" w:right="105"/>
              <w:rPr>
                <w:rFonts w:eastAsia="仿宋_GB2312"/>
                <w:sz w:val="32"/>
              </w:rPr>
            </w:pPr>
            <w:r>
              <w:rPr>
                <w:rFonts w:eastAsia="仿宋_GB2312" w:hint="eastAsia"/>
                <w:sz w:val="32"/>
              </w:rPr>
              <w:t>63085786</w:t>
            </w:r>
          </w:p>
        </w:tc>
      </w:tr>
    </w:tbl>
    <w:p w:rsidR="006676EC" w:rsidRDefault="006676EC">
      <w:pPr>
        <w:spacing w:line="20" w:lineRule="exact"/>
        <w:ind w:rightChars="548" w:right="1151"/>
      </w:pPr>
    </w:p>
    <w:sectPr w:rsidR="006676EC">
      <w:headerReference w:type="default" r:id="rId7"/>
      <w:footerReference w:type="even" r:id="rId8"/>
      <w:footerReference w:type="default" r:id="rId9"/>
      <w:pgSz w:w="11906" w:h="16838"/>
      <w:pgMar w:top="2098" w:right="1361" w:bottom="1985" w:left="1474"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92C5B" w:rsidRDefault="00092C5B">
      <w:r>
        <w:separator/>
      </w:r>
    </w:p>
  </w:endnote>
  <w:endnote w:type="continuationSeparator" w:id="0">
    <w:p w:rsidR="00092C5B" w:rsidRDefault="00092C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76EC" w:rsidRDefault="0048476A">
    <w:pPr>
      <w:pStyle w:val="a5"/>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rsidR="006676EC" w:rsidRDefault="006676EC">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76EC" w:rsidRDefault="0048476A">
    <w:pPr>
      <w:pStyle w:val="a5"/>
      <w:framePr w:wrap="around" w:vAnchor="text" w:hAnchor="margin" w:xAlign="center" w:y="1"/>
      <w:rPr>
        <w:rStyle w:val="a8"/>
      </w:rPr>
    </w:pPr>
    <w:r>
      <w:rPr>
        <w:rStyle w:val="a8"/>
      </w:rPr>
      <w:fldChar w:fldCharType="begin"/>
    </w:r>
    <w:r>
      <w:rPr>
        <w:rStyle w:val="a8"/>
      </w:rPr>
      <w:instrText xml:space="preserve">PAGE  </w:instrText>
    </w:r>
    <w:r>
      <w:rPr>
        <w:rStyle w:val="a8"/>
      </w:rPr>
      <w:fldChar w:fldCharType="separate"/>
    </w:r>
    <w:r w:rsidR="002D3844">
      <w:rPr>
        <w:rStyle w:val="a8"/>
        <w:noProof/>
      </w:rPr>
      <w:t>1</w:t>
    </w:r>
    <w:r>
      <w:rPr>
        <w:rStyle w:val="a8"/>
      </w:rPr>
      <w:fldChar w:fldCharType="end"/>
    </w:r>
  </w:p>
  <w:p w:rsidR="006676EC" w:rsidRDefault="006676EC">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92C5B" w:rsidRDefault="00092C5B">
      <w:r>
        <w:separator/>
      </w:r>
    </w:p>
  </w:footnote>
  <w:footnote w:type="continuationSeparator" w:id="0">
    <w:p w:rsidR="00092C5B" w:rsidRDefault="00092C5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76EC" w:rsidRDefault="006676EC">
    <w:pPr>
      <w:pStyle w:val="a6"/>
      <w:pBdr>
        <w:bottom w:val="none" w:sz="0" w:space="0" w:color="auto"/>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ocumentProtection w:edit="readOnly" w:enforcement="0"/>
  <w:defaultTabStop w:val="425"/>
  <w:drawingGridVerticalSpacing w:val="156"/>
  <w:displayHorizontalDrawingGridEvery w:val="0"/>
  <w:displayVerticalDrawingGridEvery w:val="2"/>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B5CFA8CA"/>
    <w:rsid w:val="DF7EA8D2"/>
    <w:rsid w:val="EEFBECCC"/>
    <w:rsid w:val="F3DF5ABA"/>
    <w:rsid w:val="FC9F1411"/>
    <w:rsid w:val="0008725F"/>
    <w:rsid w:val="00092C5B"/>
    <w:rsid w:val="00116DAE"/>
    <w:rsid w:val="00151656"/>
    <w:rsid w:val="00160D66"/>
    <w:rsid w:val="00172A27"/>
    <w:rsid w:val="0018011C"/>
    <w:rsid w:val="00181F02"/>
    <w:rsid w:val="0019767F"/>
    <w:rsid w:val="001A7225"/>
    <w:rsid w:val="001B0935"/>
    <w:rsid w:val="001F61E3"/>
    <w:rsid w:val="002371A3"/>
    <w:rsid w:val="00261F6E"/>
    <w:rsid w:val="00272F04"/>
    <w:rsid w:val="00272F5E"/>
    <w:rsid w:val="00296F01"/>
    <w:rsid w:val="002B29B1"/>
    <w:rsid w:val="002C1912"/>
    <w:rsid w:val="002D3844"/>
    <w:rsid w:val="002F0464"/>
    <w:rsid w:val="002F2BA0"/>
    <w:rsid w:val="00307EB1"/>
    <w:rsid w:val="003308ED"/>
    <w:rsid w:val="00354A16"/>
    <w:rsid w:val="00372068"/>
    <w:rsid w:val="00375D6E"/>
    <w:rsid w:val="00382172"/>
    <w:rsid w:val="004277E8"/>
    <w:rsid w:val="00460BAF"/>
    <w:rsid w:val="0048476A"/>
    <w:rsid w:val="004C2F93"/>
    <w:rsid w:val="0052525D"/>
    <w:rsid w:val="005351EE"/>
    <w:rsid w:val="00575302"/>
    <w:rsid w:val="0059759C"/>
    <w:rsid w:val="005B7C6A"/>
    <w:rsid w:val="005D25F2"/>
    <w:rsid w:val="005E0C68"/>
    <w:rsid w:val="005E7285"/>
    <w:rsid w:val="005F2062"/>
    <w:rsid w:val="005F5E66"/>
    <w:rsid w:val="00663555"/>
    <w:rsid w:val="006676EC"/>
    <w:rsid w:val="007316B5"/>
    <w:rsid w:val="007616B6"/>
    <w:rsid w:val="007746FD"/>
    <w:rsid w:val="00777B00"/>
    <w:rsid w:val="007B2223"/>
    <w:rsid w:val="007D7D3A"/>
    <w:rsid w:val="007E1B8B"/>
    <w:rsid w:val="008155F9"/>
    <w:rsid w:val="00821E10"/>
    <w:rsid w:val="008222BF"/>
    <w:rsid w:val="00843262"/>
    <w:rsid w:val="00883F64"/>
    <w:rsid w:val="00895F09"/>
    <w:rsid w:val="00917F65"/>
    <w:rsid w:val="00930E75"/>
    <w:rsid w:val="00953B90"/>
    <w:rsid w:val="00982E66"/>
    <w:rsid w:val="009A0C11"/>
    <w:rsid w:val="009A5A86"/>
    <w:rsid w:val="009F568A"/>
    <w:rsid w:val="00A01DE8"/>
    <w:rsid w:val="00A03B4F"/>
    <w:rsid w:val="00AE0062"/>
    <w:rsid w:val="00B21A65"/>
    <w:rsid w:val="00B32F4D"/>
    <w:rsid w:val="00B67BF0"/>
    <w:rsid w:val="00B96B7B"/>
    <w:rsid w:val="00C16116"/>
    <w:rsid w:val="00C40842"/>
    <w:rsid w:val="00C559AE"/>
    <w:rsid w:val="00C7461D"/>
    <w:rsid w:val="00CC5ACA"/>
    <w:rsid w:val="00CD3DDD"/>
    <w:rsid w:val="00CD5AEB"/>
    <w:rsid w:val="00D07119"/>
    <w:rsid w:val="00D47E88"/>
    <w:rsid w:val="00DC2D37"/>
    <w:rsid w:val="00E00CB1"/>
    <w:rsid w:val="00E20115"/>
    <w:rsid w:val="00E81C98"/>
    <w:rsid w:val="00E87832"/>
    <w:rsid w:val="00F20A91"/>
    <w:rsid w:val="00F34F3B"/>
    <w:rsid w:val="00F80197"/>
    <w:rsid w:val="00FF468D"/>
    <w:rsid w:val="02950A43"/>
    <w:rsid w:val="05FB352C"/>
    <w:rsid w:val="062C73BA"/>
    <w:rsid w:val="0F415A30"/>
    <w:rsid w:val="1A1A2EA1"/>
    <w:rsid w:val="1BE3569F"/>
    <w:rsid w:val="20FE4F37"/>
    <w:rsid w:val="22666FCA"/>
    <w:rsid w:val="23957D52"/>
    <w:rsid w:val="265833FB"/>
    <w:rsid w:val="270FDF5F"/>
    <w:rsid w:val="2A106D0B"/>
    <w:rsid w:val="2DCA2874"/>
    <w:rsid w:val="3697D3F7"/>
    <w:rsid w:val="377A2E5E"/>
    <w:rsid w:val="385C0DBD"/>
    <w:rsid w:val="3A57702C"/>
    <w:rsid w:val="3AED9947"/>
    <w:rsid w:val="3E7FD7F7"/>
    <w:rsid w:val="447E3320"/>
    <w:rsid w:val="45CB5298"/>
    <w:rsid w:val="4B30475B"/>
    <w:rsid w:val="4CA33CB0"/>
    <w:rsid w:val="4D14258D"/>
    <w:rsid w:val="57073EC0"/>
    <w:rsid w:val="59C6063C"/>
    <w:rsid w:val="5F7BD45F"/>
    <w:rsid w:val="63E612D4"/>
    <w:rsid w:val="693053CC"/>
    <w:rsid w:val="6AB50BAB"/>
    <w:rsid w:val="6CA056C1"/>
    <w:rsid w:val="6D957ABF"/>
    <w:rsid w:val="7312333B"/>
    <w:rsid w:val="75561D3A"/>
    <w:rsid w:val="7952225A"/>
    <w:rsid w:val="7D174045"/>
    <w:rsid w:val="7D906DB7"/>
    <w:rsid w:val="7E67429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o:shapedefaults>
    <o:shapelayout v:ext="edit">
      <o:idmap v:ext="edit" data="1"/>
    </o:shapelayout>
  </w:shapeDefaults>
  <w:decimalSymbol w:val="."/>
  <w:listSeparator w:val=","/>
  <w15:docId w15:val="{0E533E89-331D-4C4B-9739-393AD59048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qFormat="1"/>
    <w:lsdException w:name="Body Text" w:semiHidden="1"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a0"/>
    <w:qFormat/>
    <w:pPr>
      <w:widowControl w:val="0"/>
      <w:jc w:val="both"/>
    </w:pPr>
    <w:rPr>
      <w:kern w:val="2"/>
      <w:sz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a"/>
    <w:semiHidden/>
    <w:qFormat/>
    <w:pPr>
      <w:jc w:val="center"/>
    </w:pPr>
    <w:rPr>
      <w:rFonts w:ascii="宋体"/>
      <w:b/>
      <w:bCs/>
      <w:sz w:val="44"/>
    </w:rPr>
  </w:style>
  <w:style w:type="paragraph" w:styleId="a4">
    <w:name w:val="Date"/>
    <w:basedOn w:val="a"/>
    <w:next w:val="a"/>
    <w:semiHidden/>
    <w:qFormat/>
    <w:pPr>
      <w:ind w:leftChars="2500" w:left="100"/>
    </w:pPr>
    <w:rPr>
      <w:rFonts w:ascii="仿宋_GB2312" w:eastAsia="仿宋_GB2312"/>
      <w:sz w:val="32"/>
    </w:rPr>
  </w:style>
  <w:style w:type="paragraph" w:styleId="a5">
    <w:name w:val="footer"/>
    <w:basedOn w:val="a"/>
    <w:link w:val="Char"/>
    <w:uiPriority w:val="99"/>
    <w:unhideWhenUsed/>
    <w:qFormat/>
    <w:pPr>
      <w:tabs>
        <w:tab w:val="center" w:pos="4153"/>
        <w:tab w:val="right" w:pos="8306"/>
      </w:tabs>
      <w:snapToGrid w:val="0"/>
      <w:jc w:val="left"/>
    </w:pPr>
    <w:rPr>
      <w:sz w:val="18"/>
      <w:szCs w:val="18"/>
    </w:rPr>
  </w:style>
  <w:style w:type="paragraph" w:styleId="a6">
    <w:name w:val="header"/>
    <w:basedOn w:val="a"/>
    <w:link w:val="Char0"/>
    <w:uiPriority w:val="99"/>
    <w:unhideWhenUsed/>
    <w:qFormat/>
    <w:pPr>
      <w:pBdr>
        <w:bottom w:val="single" w:sz="6" w:space="1" w:color="auto"/>
      </w:pBdr>
      <w:tabs>
        <w:tab w:val="center" w:pos="4153"/>
        <w:tab w:val="right" w:pos="8306"/>
      </w:tabs>
      <w:snapToGrid w:val="0"/>
      <w:jc w:val="center"/>
    </w:pPr>
    <w:rPr>
      <w:sz w:val="18"/>
      <w:szCs w:val="18"/>
    </w:rPr>
  </w:style>
  <w:style w:type="table" w:styleId="a7">
    <w:name w:val="Table Grid"/>
    <w:basedOn w:val="a2"/>
    <w:uiPriority w:val="59"/>
    <w:qFormat/>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8">
    <w:name w:val="page number"/>
    <w:basedOn w:val="a1"/>
    <w:qFormat/>
  </w:style>
  <w:style w:type="character" w:customStyle="1" w:styleId="Char0">
    <w:name w:val="页眉 Char"/>
    <w:basedOn w:val="a1"/>
    <w:link w:val="a6"/>
    <w:uiPriority w:val="99"/>
    <w:qFormat/>
    <w:rPr>
      <w:kern w:val="2"/>
      <w:sz w:val="18"/>
      <w:szCs w:val="18"/>
    </w:rPr>
  </w:style>
  <w:style w:type="character" w:customStyle="1" w:styleId="Char">
    <w:name w:val="页脚 Char"/>
    <w:basedOn w:val="a1"/>
    <w:link w:val="a5"/>
    <w:uiPriority w:val="99"/>
    <w:qFormat/>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glossaryDocument" Target="glossary/document.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fbbf2bac-2777-48b9-8fe3-c7d0d6fb2e8a}"/>
        <w:category>
          <w:name w:val="常规"/>
          <w:gallery w:val="placeholder"/>
        </w:category>
        <w:types>
          <w:type w:val="bbPlcHdr"/>
        </w:types>
        <w:behaviors>
          <w:behavior w:val="content"/>
        </w:behaviors>
        <w:guid w:val="{FBBF2BAC-2777-48B9-8FE3-C7D0D6FB2E8A}"/>
      </w:docPartPr>
      <w:docPartBody>
        <w:p w:rsidR="005D2EFE" w:rsidRDefault="00D07C12">
          <w:r>
            <w:rPr>
              <w:color w:val="808080"/>
            </w:rPr>
            <w:t>选择一项。</w:t>
          </w:r>
        </w:p>
      </w:docPartBody>
    </w:docPart>
    <w:docPart>
      <w:docPartPr>
        <w:name w:val="{5664cb10-74fb-4547-88a8-b8c5d4df73ec}"/>
        <w:category>
          <w:name w:val="常规"/>
          <w:gallery w:val="placeholder"/>
        </w:category>
        <w:types>
          <w:type w:val="bbPlcHdr"/>
        </w:types>
        <w:behaviors>
          <w:behavior w:val="content"/>
        </w:behaviors>
        <w:guid w:val="{5664CB10-74FB-4547-88A8-B8C5D4DF73EC}"/>
      </w:docPartPr>
      <w:docPartBody>
        <w:p w:rsidR="005D2EFE" w:rsidRDefault="00D07C12">
          <w:r>
            <w:rPr>
              <w:color w:val="808080"/>
            </w:rPr>
            <w:t>选择一项。</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bordersDoNotSurroundHeader/>
  <w:bordersDoNotSurroundFooter/>
  <w:defaultTabStop w:val="420"/>
  <w:characterSpacingControl w:val="doNotCompress"/>
  <w:compat>
    <w:useFELayout/>
    <w:splitPgBreakAndParaMark/>
    <w:compatSetting w:name="compatibilityMode" w:uri="http://schemas.microsoft.com/office/word" w:val="14"/>
  </w:compat>
  <w:rsids>
    <w:rsidRoot w:val="005D2EFE"/>
    <w:rsid w:val="003C459B"/>
    <w:rsid w:val="005D2EFE"/>
    <w:rsid w:val="00C03044"/>
    <w:rsid w:val="00D07C12"/>
    <w:rsid w:val="00EF4E1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heading 2" w:semiHidden="1" w:unhideWhenUsed="1"/>
    <w:lsdException w:name="heading 3" w:semiHidden="1" w:unhideWhenUsed="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6</Pages>
  <Words>431</Words>
  <Characters>2457</Characters>
  <Application>Microsoft Office Word</Application>
  <DocSecurity>0</DocSecurity>
  <Lines>20</Lines>
  <Paragraphs>5</Paragraphs>
  <ScaleCrop>false</ScaleCrop>
  <Company>spice</Company>
  <LinksUpToDate>false</LinksUpToDate>
  <CharactersWithSpaces>2883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各区县委办局办公室：</dc:title>
  <dc:creator>wjc</dc:creator>
  <cp:lastModifiedBy>Windows User</cp:lastModifiedBy>
  <cp:revision>13</cp:revision>
  <cp:lastPrinted>2025-02-16T23:11:00Z</cp:lastPrinted>
  <dcterms:created xsi:type="dcterms:W3CDTF">2021-04-09T03:49:00Z</dcterms:created>
  <dcterms:modified xsi:type="dcterms:W3CDTF">2025-04-02T09:34:00Z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2052-11.8.2.10229</vt:lpwstr>
  </property>
</Properties>
</file>