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73A7" w:rsidRDefault="00F73F1E">
      <w:pPr>
        <w:jc w:val="center"/>
        <w:rPr>
          <w:rFonts w:ascii="华文中宋" w:eastAsia="华文中宋" w:hAnsi="华文中宋"/>
          <w:b/>
          <w:bCs/>
          <w:color w:val="FF0000"/>
          <w:sz w:val="84"/>
        </w:rPr>
      </w:pPr>
      <w:bookmarkStart w:id="0" w:name="dw"/>
      <w:r>
        <w:rPr>
          <w:rFonts w:ascii="华文中宋" w:eastAsia="华文中宋" w:hAnsi="华文中宋" w:hint="eastAsia"/>
          <w:b/>
          <w:bCs/>
          <w:color w:val="FF0000"/>
          <w:sz w:val="84"/>
        </w:rPr>
        <w:t>天津市人民政府港澳</w:t>
      </w:r>
    </w:p>
    <w:p w:rsidR="00D073A7" w:rsidRDefault="00F73F1E">
      <w:pPr>
        <w:jc w:val="center"/>
        <w:rPr>
          <w:rFonts w:ascii="华文中宋" w:eastAsia="华文中宋" w:hAnsi="华文中宋"/>
          <w:b/>
          <w:bCs/>
          <w:color w:val="FF0000"/>
          <w:sz w:val="84"/>
        </w:rPr>
      </w:pPr>
      <w:r>
        <w:rPr>
          <w:rFonts w:ascii="华文中宋" w:eastAsia="华文中宋" w:hAnsi="华文中宋" w:hint="eastAsia"/>
          <w:b/>
          <w:bCs/>
          <w:color w:val="FF0000"/>
          <w:sz w:val="84"/>
        </w:rPr>
        <w:t>工作办公室</w:t>
      </w:r>
      <w:bookmarkEnd w:id="0"/>
    </w:p>
    <w:p w:rsidR="00D073A7" w:rsidRDefault="00D073A7">
      <w:pPr>
        <w:spacing w:line="360" w:lineRule="exact"/>
        <w:rPr>
          <w:rFonts w:ascii="仿宋_GB2312" w:eastAsia="仿宋_GB2312" w:hAnsi="宋体"/>
          <w:sz w:val="30"/>
        </w:rPr>
      </w:pPr>
    </w:p>
    <w:p w:rsidR="00D073A7" w:rsidRDefault="00F73F1E">
      <w:pPr>
        <w:rPr>
          <w:rFonts w:ascii="仿宋_GB2312" w:eastAsia="仿宋_GB2312" w:hAnsi="宋体"/>
          <w:sz w:val="13"/>
          <w:szCs w:val="13"/>
        </w:rPr>
      </w:pPr>
      <w:r>
        <w:rPr>
          <w:rFonts w:ascii="仿宋_GB2312" w:eastAsia="仿宋_GB2312" w:hAnsi="宋体"/>
          <w:noProof/>
          <w:sz w:val="13"/>
          <w:szCs w:val="13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0"/>
                <wp:effectExtent l="0" t="0" r="0" b="0"/>
                <wp:wrapSquare wrapText="bothSides"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BD9BABC" id="直线 2" o:spid="_x0000_s1026" style="position:absolute;left:0;text-align:lef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0" to="441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VakzQEAAIEDAAAOAAAAZHJzL2Uyb0RvYy54bWysU0uOEzEQ3SNxB8t70j2RMkArnVlMCBsE&#10;kWAOUPGn25J/cpl0chauwYoNx5lrUHYyGZjZIEQWTrlc9areq+rlzcFZtlcJTfA9v5q1nCkvgjR+&#10;6Pndl82rN5xhBi/BBq96flTIb1YvXyyn2Kl5GIOVKjEC8dhNsedjzrFrGhSjcoCzEJWnRx2Sg0zX&#10;NDQywUTozjbztr1uppBkTEEoRPKuT498VfG1ViJ/0hpVZrbn1FuuZ6rnrpzNagndkCCORpzbgH/o&#10;woHxVPQCtYYM7Gsyz6CcESlg0HkmgmuC1kaoyoHYXLVP2HweIarKhcTBeJEJ/x+s+LjfJmYkzY4z&#10;D45GdP/t+/2Pn2xetJkidhRy67fpfMO4TYXoQSdX/okCO1Q9jxc91SEzQc7Fddu+bkl28fDWPCbG&#10;hPm9Co4Vo+fW+EIVOth/wEzFKPQhpLitZ1PP3y7mC4ID2hRtIZPpIvWOfqi5GKyRG2NtycA07G5t&#10;Ynug2W82Lf0KJcL9I6wUWQOOp7j6dNqKUYF85yXLx0iqeFpfXlpwSnJmFW17sQgQugzG/k0klbae&#10;OiiqnnQs1i7IY5W3+mnOtcfzTpZF+v1esx+/nNUvAAAA//8DAFBLAwQUAAYACAAAACEAO7/WqdcA&#10;AAACAQAADwAAAGRycy9kb3ducmV2LnhtbEyPwU7DMAyG70i8Q2QkbizZDlU1mk4TggucGNMkbllj&#10;2tLGKY3XlbfH4wIXS59+6/fnYjOHXk04pjaSheXCgEKqom+ptrB/e7rLQSV25F0fCS18Y4JNeX1V&#10;uLWPZ3rFace1khJKa2ehYR7WWqeqweDSIg5Ikn3EMTgWHGvtR3eW8tDrlTGZDq4ludC4AR8arLrd&#10;KVjg7JMPPvt67pb77vBuXsxkto/W3t7M23tQjDP/LcNFX9ShFKdjPJFPqrcgj/DvlCzPV4LHC+qy&#10;0P/Vyx8AAAD//wMAUEsBAi0AFAAGAAgAAAAhALaDOJL+AAAA4QEAABMAAAAAAAAAAAAAAAAAAAAA&#10;AFtDb250ZW50X1R5cGVzXS54bWxQSwECLQAUAAYACAAAACEAOP0h/9YAAACUAQAACwAAAAAAAAAA&#10;AAAAAAAvAQAAX3JlbHMvLnJlbHNQSwECLQAUAAYACAAAACEArbVWpM0BAACBAwAADgAAAAAAAAAA&#10;AAAAAAAuAgAAZHJzL2Uyb0RvYy54bWxQSwECLQAUAAYACAAAACEAO7/WqdcAAAACAQAADwAAAAAA&#10;AAAAAAAAAAAnBAAAZHJzL2Rvd25yZXYueG1sUEsFBgAAAAAEAAQA8wAAACsFAAAAAA==&#10;" strokecolor="red">
                <w10:wrap type="square"/>
              </v:line>
            </w:pict>
          </mc:Fallback>
        </mc:AlternateContent>
      </w:r>
    </w:p>
    <w:tbl>
      <w:tblPr>
        <w:tblW w:w="9356" w:type="dxa"/>
        <w:tblInd w:w="-34" w:type="dxa"/>
        <w:tblLook w:val="04A0" w:firstRow="1" w:lastRow="0" w:firstColumn="1" w:lastColumn="0" w:noHBand="0" w:noVBand="1"/>
      </w:tblPr>
      <w:tblGrid>
        <w:gridCol w:w="1778"/>
        <w:gridCol w:w="2762"/>
        <w:gridCol w:w="1272"/>
        <w:gridCol w:w="556"/>
        <w:gridCol w:w="1246"/>
        <w:gridCol w:w="1742"/>
      </w:tblGrid>
      <w:tr w:rsidR="00D073A7">
        <w:tc>
          <w:tcPr>
            <w:tcW w:w="5000" w:type="pct"/>
            <w:gridSpan w:val="6"/>
            <w:tcBorders>
              <w:tl2br w:val="nil"/>
              <w:tr2bl w:val="nil"/>
            </w:tcBorders>
            <w:vAlign w:val="center"/>
          </w:tcPr>
          <w:p w:rsidR="00D073A7" w:rsidRDefault="00F73F1E">
            <w:pPr>
              <w:jc w:val="center"/>
              <w:rPr>
                <w:b/>
                <w:bCs/>
                <w:sz w:val="44"/>
              </w:rPr>
            </w:pPr>
            <w:bookmarkStart w:id="1" w:name="bt"/>
            <w:r>
              <w:rPr>
                <w:b/>
                <w:bCs/>
                <w:sz w:val="44"/>
              </w:rPr>
              <w:t>对市政协第十五届三次会议</w:t>
            </w:r>
            <w:r>
              <w:rPr>
                <w:b/>
                <w:bCs/>
                <w:sz w:val="44"/>
              </w:rPr>
              <w:br/>
            </w:r>
            <w:r>
              <w:rPr>
                <w:b/>
                <w:bCs/>
                <w:sz w:val="44"/>
              </w:rPr>
              <w:t>第</w:t>
            </w:r>
            <w:r>
              <w:rPr>
                <w:b/>
                <w:bCs/>
                <w:sz w:val="44"/>
              </w:rPr>
              <w:t>0352</w:t>
            </w:r>
            <w:r>
              <w:rPr>
                <w:b/>
                <w:bCs/>
                <w:sz w:val="44"/>
              </w:rPr>
              <w:t>号提案的办理答复</w:t>
            </w:r>
            <w:bookmarkEnd w:id="1"/>
          </w:p>
        </w:tc>
      </w:tr>
      <w:tr w:rsidR="00D073A7">
        <w:tc>
          <w:tcPr>
            <w:tcW w:w="3106" w:type="pct"/>
            <w:gridSpan w:val="3"/>
            <w:tcBorders>
              <w:tl2br w:val="nil"/>
              <w:tr2bl w:val="nil"/>
            </w:tcBorders>
          </w:tcPr>
          <w:p w:rsidR="00D073A7" w:rsidRDefault="00D073A7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</w:p>
        </w:tc>
        <w:tc>
          <w:tcPr>
            <w:tcW w:w="963" w:type="pct"/>
            <w:gridSpan w:val="2"/>
            <w:tcBorders>
              <w:tl2br w:val="nil"/>
              <w:tr2bl w:val="nil"/>
            </w:tcBorders>
          </w:tcPr>
          <w:p w:rsidR="00D073A7" w:rsidRDefault="00F73F1E">
            <w:pPr>
              <w:spacing w:line="480" w:lineRule="exact"/>
              <w:ind w:rightChars="50" w:right="105"/>
              <w:jc w:val="left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 xml:space="preserve">　　类别：</w:t>
            </w:r>
          </w:p>
        </w:tc>
        <w:sdt>
          <w:sdtPr>
            <w:rPr>
              <w:rFonts w:eastAsia="仿宋_GB2312"/>
              <w:sz w:val="32"/>
            </w:rPr>
            <w:id w:val="147470906"/>
            <w:placeholder>
              <w:docPart w:val="{fbbf2bac-2777-48b9-8fe3-c7d0d6fb2e8a}"/>
            </w:placeholder>
            <w:dropDownList>
              <w:listItem w:displayText="选择一项。" w:value="选择一项。"/>
              <w:listItem w:displayText="A" w:value="A"/>
              <w:listItem w:displayText="B" w:value="B"/>
              <w:listItem w:displayText="C" w:value="C"/>
            </w:dropDownList>
          </w:sdtPr>
          <w:sdtEndPr/>
          <w:sdtContent>
            <w:tc>
              <w:tcPr>
                <w:tcW w:w="930" w:type="pct"/>
                <w:tcBorders>
                  <w:tl2br w:val="nil"/>
                  <w:tr2bl w:val="nil"/>
                </w:tcBorders>
              </w:tcPr>
              <w:p w:rsidR="00D073A7" w:rsidRDefault="00F73F1E">
                <w:pPr>
                  <w:spacing w:line="480" w:lineRule="exact"/>
                  <w:ind w:rightChars="50" w:right="105"/>
                  <w:jc w:val="left"/>
                  <w:rPr>
                    <w:rFonts w:eastAsia="仿宋_GB2312"/>
                    <w:sz w:val="32"/>
                  </w:rPr>
                </w:pPr>
                <w:r>
                  <w:rPr>
                    <w:rFonts w:eastAsia="仿宋_GB2312"/>
                    <w:sz w:val="32"/>
                  </w:rPr>
                  <w:t>A</w:t>
                </w:r>
              </w:p>
            </w:tc>
          </w:sdtContent>
        </w:sdt>
      </w:tr>
      <w:tr w:rsidR="00D073A7">
        <w:tc>
          <w:tcPr>
            <w:tcW w:w="3106" w:type="pct"/>
            <w:gridSpan w:val="3"/>
            <w:tcBorders>
              <w:tl2br w:val="nil"/>
              <w:tr2bl w:val="nil"/>
            </w:tcBorders>
          </w:tcPr>
          <w:p w:rsidR="00D073A7" w:rsidRDefault="00D073A7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</w:p>
        </w:tc>
        <w:tc>
          <w:tcPr>
            <w:tcW w:w="963" w:type="pct"/>
            <w:gridSpan w:val="2"/>
            <w:tcBorders>
              <w:tl2br w:val="nil"/>
              <w:tr2bl w:val="nil"/>
            </w:tcBorders>
          </w:tcPr>
          <w:p w:rsidR="00D073A7" w:rsidRDefault="00F73F1E">
            <w:pPr>
              <w:spacing w:line="480" w:lineRule="exact"/>
              <w:ind w:rightChars="50" w:right="105"/>
              <w:jc w:val="left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签发领导：</w:t>
            </w:r>
          </w:p>
        </w:tc>
        <w:tc>
          <w:tcPr>
            <w:tcW w:w="930" w:type="pct"/>
            <w:tcBorders>
              <w:tl2br w:val="nil"/>
              <w:tr2bl w:val="nil"/>
            </w:tcBorders>
          </w:tcPr>
          <w:p w:rsidR="00D073A7" w:rsidRDefault="00F73F1E">
            <w:pPr>
              <w:spacing w:line="480" w:lineRule="exact"/>
              <w:ind w:rightChars="50" w:right="105"/>
              <w:jc w:val="left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栾建章</w:t>
            </w:r>
          </w:p>
        </w:tc>
      </w:tr>
      <w:tr w:rsidR="00D073A7">
        <w:tc>
          <w:tcPr>
            <w:tcW w:w="3106" w:type="pct"/>
            <w:gridSpan w:val="3"/>
            <w:tcBorders>
              <w:tl2br w:val="nil"/>
              <w:tr2bl w:val="nil"/>
            </w:tcBorders>
          </w:tcPr>
          <w:p w:rsidR="00D073A7" w:rsidRDefault="00D073A7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</w:p>
        </w:tc>
        <w:tc>
          <w:tcPr>
            <w:tcW w:w="963" w:type="pct"/>
            <w:gridSpan w:val="2"/>
            <w:tcBorders>
              <w:tl2br w:val="nil"/>
              <w:tr2bl w:val="nil"/>
            </w:tcBorders>
          </w:tcPr>
          <w:p w:rsidR="00D073A7" w:rsidRDefault="00F73F1E">
            <w:pPr>
              <w:spacing w:line="480" w:lineRule="exact"/>
              <w:ind w:rightChars="50" w:right="105"/>
              <w:jc w:val="left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公开属性：</w:t>
            </w:r>
          </w:p>
        </w:tc>
        <w:sdt>
          <w:sdtPr>
            <w:rPr>
              <w:rFonts w:eastAsia="仿宋_GB2312"/>
              <w:sz w:val="32"/>
            </w:rPr>
            <w:id w:val="147470560"/>
            <w:placeholder>
              <w:docPart w:val="{5664cb10-74fb-4547-88a8-b8c5d4df73ec}"/>
            </w:placeholder>
            <w:dropDownList>
              <w:listItem w:displayText="选择一项。" w:value="选择一项。"/>
              <w:listItem w:displayText="是" w:value="是"/>
              <w:listItem w:displayText="否" w:value="否"/>
            </w:dropDownList>
          </w:sdtPr>
          <w:sdtEndPr/>
          <w:sdtContent>
            <w:tc>
              <w:tcPr>
                <w:tcW w:w="930" w:type="pct"/>
                <w:tcBorders>
                  <w:tl2br w:val="nil"/>
                  <w:tr2bl w:val="nil"/>
                </w:tcBorders>
              </w:tcPr>
              <w:p w:rsidR="00D073A7" w:rsidRDefault="00F73F1E">
                <w:pPr>
                  <w:spacing w:line="480" w:lineRule="exact"/>
                  <w:ind w:rightChars="50" w:right="105"/>
                  <w:jc w:val="left"/>
                  <w:rPr>
                    <w:rFonts w:eastAsia="仿宋_GB2312"/>
                    <w:sz w:val="32"/>
                  </w:rPr>
                </w:pPr>
                <w:r>
                  <w:rPr>
                    <w:rFonts w:eastAsia="仿宋_GB2312"/>
                    <w:sz w:val="32"/>
                  </w:rPr>
                  <w:t>是</w:t>
                </w:r>
              </w:p>
            </w:tc>
          </w:sdtContent>
        </w:sdt>
      </w:tr>
      <w:tr w:rsidR="00D073A7">
        <w:tc>
          <w:tcPr>
            <w:tcW w:w="5000" w:type="pct"/>
            <w:gridSpan w:val="6"/>
            <w:tcBorders>
              <w:tl2br w:val="nil"/>
              <w:tr2bl w:val="nil"/>
            </w:tcBorders>
          </w:tcPr>
          <w:p w:rsidR="00D073A7" w:rsidRDefault="00F73F1E">
            <w:pPr>
              <w:spacing w:line="560" w:lineRule="exact"/>
              <w:ind w:rightChars="50" w:right="105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李昕维委员：</w:t>
            </w:r>
          </w:p>
        </w:tc>
      </w:tr>
      <w:tr w:rsidR="00D073A7">
        <w:tc>
          <w:tcPr>
            <w:tcW w:w="5000" w:type="pct"/>
            <w:gridSpan w:val="6"/>
            <w:tcBorders>
              <w:tl2br w:val="nil"/>
              <w:tr2bl w:val="nil"/>
            </w:tcBorders>
          </w:tcPr>
          <w:p w:rsidR="00D073A7" w:rsidRDefault="00F73F1E">
            <w:pPr>
              <w:spacing w:line="560" w:lineRule="exact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  <w:szCs w:val="18"/>
              </w:rPr>
              <w:t xml:space="preserve">　　</w:t>
            </w:r>
            <w:bookmarkStart w:id="2" w:name="shuo"/>
            <w:r>
              <w:rPr>
                <w:rFonts w:eastAsia="仿宋_GB2312"/>
                <w:sz w:val="32"/>
                <w:szCs w:val="18"/>
              </w:rPr>
              <w:t>您提出的关于发挥香港优势，精准</w:t>
            </w:r>
            <w:r>
              <w:rPr>
                <w:rFonts w:eastAsia="仿宋_GB2312"/>
                <w:sz w:val="32"/>
                <w:szCs w:val="18"/>
              </w:rPr>
              <w:t>“</w:t>
            </w:r>
            <w:r>
              <w:rPr>
                <w:rFonts w:eastAsia="仿宋_GB2312"/>
                <w:sz w:val="32"/>
                <w:szCs w:val="18"/>
              </w:rPr>
              <w:t>三引</w:t>
            </w:r>
            <w:r>
              <w:rPr>
                <w:rFonts w:eastAsia="仿宋_GB2312"/>
                <w:sz w:val="32"/>
                <w:szCs w:val="18"/>
              </w:rPr>
              <w:t>”</w:t>
            </w:r>
            <w:r>
              <w:rPr>
                <w:rFonts w:eastAsia="仿宋_GB2312"/>
                <w:sz w:val="32"/>
                <w:szCs w:val="18"/>
              </w:rPr>
              <w:t>助力天津科创高质量发展的提案，经会同市教委、市科技局、市人力社保局、市金融局研究答复如下</w:t>
            </w:r>
            <w:bookmarkEnd w:id="2"/>
            <w:r>
              <w:rPr>
                <w:rFonts w:eastAsia="仿宋_GB2312"/>
                <w:sz w:val="32"/>
                <w:szCs w:val="18"/>
              </w:rPr>
              <w:t>：</w:t>
            </w:r>
          </w:p>
        </w:tc>
      </w:tr>
      <w:tr w:rsidR="00D073A7">
        <w:trPr>
          <w:trHeight w:val="1562"/>
        </w:trPr>
        <w:tc>
          <w:tcPr>
            <w:tcW w:w="5000" w:type="pct"/>
            <w:gridSpan w:val="6"/>
            <w:tcBorders>
              <w:tl2br w:val="nil"/>
              <w:tr2bl w:val="nil"/>
            </w:tcBorders>
          </w:tcPr>
          <w:p w:rsidR="00D073A7" w:rsidRDefault="00F73F1E">
            <w:pPr>
              <w:spacing w:line="580" w:lineRule="exact"/>
              <w:ind w:firstLine="648"/>
              <w:rPr>
                <w:rFonts w:eastAsia="黑体"/>
                <w:sz w:val="32"/>
                <w:szCs w:val="32"/>
              </w:rPr>
            </w:pPr>
            <w:r>
              <w:rPr>
                <w:rFonts w:eastAsia="黑体"/>
                <w:sz w:val="32"/>
                <w:szCs w:val="32"/>
              </w:rPr>
              <w:t>一、在金融领域</w:t>
            </w:r>
          </w:p>
          <w:p w:rsidR="00D073A7" w:rsidRDefault="00F73F1E">
            <w:pPr>
              <w:spacing w:line="560" w:lineRule="exact"/>
              <w:ind w:rightChars="50" w:right="105" w:firstLineChars="200" w:firstLine="640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  <w:szCs w:val="32"/>
              </w:rPr>
              <w:t>我市高度重视香港国际金融中心地位，挖掘我市金融资源和优势深化与香港金融合作。</w:t>
            </w:r>
            <w:r>
              <w:rPr>
                <w:rFonts w:eastAsia="仿宋_GB2312"/>
                <w:b/>
                <w:bCs/>
                <w:sz w:val="32"/>
              </w:rPr>
              <w:t>一是</w:t>
            </w:r>
            <w:r>
              <w:rPr>
                <w:rFonts w:eastAsia="仿宋_GB2312"/>
                <w:sz w:val="32"/>
              </w:rPr>
              <w:t>有效发挥政府引导基金引撬作用。截至</w:t>
            </w:r>
            <w:r>
              <w:rPr>
                <w:rFonts w:eastAsia="仿宋_GB2312"/>
                <w:sz w:val="32"/>
              </w:rPr>
              <w:t>2024</w:t>
            </w:r>
            <w:r>
              <w:rPr>
                <w:rFonts w:eastAsia="仿宋_GB2312"/>
                <w:sz w:val="32"/>
              </w:rPr>
              <w:t>年</w:t>
            </w:r>
            <w:r>
              <w:rPr>
                <w:rFonts w:eastAsia="仿宋_GB2312"/>
                <w:sz w:val="32"/>
              </w:rPr>
              <w:t>12</w:t>
            </w:r>
            <w:r>
              <w:rPr>
                <w:rFonts w:eastAsia="仿宋_GB2312"/>
                <w:sz w:val="32"/>
              </w:rPr>
              <w:t>月末，海河产业基金累计有</w:t>
            </w:r>
            <w:r>
              <w:rPr>
                <w:rFonts w:eastAsia="仿宋_GB2312"/>
                <w:sz w:val="32"/>
              </w:rPr>
              <w:t>74</w:t>
            </w:r>
            <w:r>
              <w:rPr>
                <w:rFonts w:eastAsia="仿宋_GB2312"/>
                <w:sz w:val="32"/>
              </w:rPr>
              <w:t>支母基金签署协议，引导基金出资</w:t>
            </w:r>
            <w:r>
              <w:rPr>
                <w:rFonts w:eastAsia="仿宋_GB2312"/>
                <w:sz w:val="32"/>
              </w:rPr>
              <w:t>189.3</w:t>
            </w:r>
            <w:r>
              <w:rPr>
                <w:rFonts w:eastAsia="仿宋_GB2312"/>
                <w:sz w:val="32"/>
              </w:rPr>
              <w:t>亿元，带动母基金累计出资</w:t>
            </w:r>
            <w:r>
              <w:rPr>
                <w:rFonts w:eastAsia="仿宋_GB2312"/>
                <w:sz w:val="32"/>
              </w:rPr>
              <w:t>730.3</w:t>
            </w:r>
            <w:r>
              <w:rPr>
                <w:rFonts w:eastAsia="仿宋_GB2312"/>
                <w:sz w:val="32"/>
              </w:rPr>
              <w:t>亿元。产业带动功能不断增强，累计实现</w:t>
            </w:r>
            <w:r>
              <w:rPr>
                <w:rFonts w:eastAsia="仿宋_GB2312"/>
                <w:sz w:val="32"/>
              </w:rPr>
              <w:t>326</w:t>
            </w:r>
            <w:r>
              <w:rPr>
                <w:rFonts w:eastAsia="仿宋_GB2312"/>
                <w:sz w:val="32"/>
              </w:rPr>
              <w:t>个项目在津落地，投资金额累计</w:t>
            </w:r>
            <w:r>
              <w:rPr>
                <w:rFonts w:eastAsia="仿宋_GB2312"/>
                <w:sz w:val="32"/>
              </w:rPr>
              <w:t>2021.6</w:t>
            </w:r>
            <w:r>
              <w:rPr>
                <w:rFonts w:eastAsia="仿宋_GB2312"/>
                <w:sz w:val="32"/>
              </w:rPr>
              <w:t>亿元。</w:t>
            </w:r>
            <w:r>
              <w:rPr>
                <w:rFonts w:eastAsia="仿宋_GB2312"/>
                <w:b/>
                <w:bCs/>
                <w:sz w:val="32"/>
              </w:rPr>
              <w:t>二是</w:t>
            </w:r>
            <w:r>
              <w:rPr>
                <w:rFonts w:eastAsia="仿宋_GB2312"/>
                <w:sz w:val="32"/>
              </w:rPr>
              <w:t>全力推动天津企业赴港上市融资。支持企业用好主要境外资本市场，</w:t>
            </w:r>
            <w:r>
              <w:rPr>
                <w:rFonts w:eastAsia="仿宋_GB2312"/>
                <w:sz w:val="32"/>
              </w:rPr>
              <w:t>2024</w:t>
            </w:r>
            <w:r>
              <w:rPr>
                <w:rFonts w:eastAsia="仿宋_GB2312"/>
                <w:sz w:val="32"/>
              </w:rPr>
              <w:t>年我市新增上市公司</w:t>
            </w:r>
            <w:r>
              <w:rPr>
                <w:rFonts w:eastAsia="仿宋_GB2312"/>
                <w:sz w:val="32"/>
              </w:rPr>
              <w:t>2</w:t>
            </w:r>
            <w:r>
              <w:rPr>
                <w:rFonts w:eastAsia="仿宋_GB2312"/>
                <w:sz w:val="32"/>
              </w:rPr>
              <w:t>家，均在香</w:t>
            </w:r>
            <w:r>
              <w:rPr>
                <w:rFonts w:eastAsia="仿宋_GB2312"/>
                <w:sz w:val="32"/>
              </w:rPr>
              <w:lastRenderedPageBreak/>
              <w:t>港联交所上市。重点推动消费、生物医药行业赴港交所上市，在天开园举办走进港交所专题培训，实地走访多家重点港交所拟上市企业，帮助企业链接香港资本市场。</w:t>
            </w:r>
          </w:p>
          <w:p w:rsidR="00D073A7" w:rsidRDefault="00F73F1E">
            <w:pPr>
              <w:spacing w:line="560" w:lineRule="exact"/>
              <w:ind w:rightChars="50" w:right="105" w:firstLineChars="200" w:firstLine="640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下一步，</w:t>
            </w:r>
            <w:r>
              <w:rPr>
                <w:rFonts w:eastAsia="仿宋_GB2312"/>
                <w:sz w:val="32"/>
              </w:rPr>
              <w:t>我市将用活用好海河产业基金政策，引导海河产业基金立足政府背景引导基金定位，</w:t>
            </w:r>
            <w:r>
              <w:rPr>
                <w:rFonts w:eastAsia="仿宋_GB2312"/>
                <w:sz w:val="32"/>
                <w:szCs w:val="32"/>
              </w:rPr>
              <w:t>按照市场化原则多渠道、多方式吸引</w:t>
            </w:r>
            <w:r>
              <w:rPr>
                <w:rFonts w:eastAsia="仿宋_GB2312"/>
                <w:sz w:val="32"/>
              </w:rPr>
              <w:t>香港资本，精准赋能天津潜力科创项目，加速科技成果向现实生产力转化。同时，大力支持我市专精特新企业赴港上市融资，运用多层次资本市场实现跨越式发展。</w:t>
            </w:r>
          </w:p>
          <w:p w:rsidR="00D073A7" w:rsidRDefault="00F73F1E">
            <w:pPr>
              <w:widowControl/>
              <w:numPr>
                <w:ilvl w:val="0"/>
                <w:numId w:val="2"/>
              </w:numPr>
              <w:adjustRightInd w:val="0"/>
              <w:spacing w:line="580" w:lineRule="exact"/>
              <w:ind w:firstLineChars="200" w:firstLine="640"/>
              <w:rPr>
                <w:rFonts w:eastAsia="黑体"/>
                <w:sz w:val="32"/>
                <w:szCs w:val="32"/>
              </w:rPr>
            </w:pPr>
            <w:r>
              <w:rPr>
                <w:rFonts w:eastAsia="黑体"/>
                <w:sz w:val="32"/>
                <w:szCs w:val="32"/>
              </w:rPr>
              <w:t>在科技领域</w:t>
            </w:r>
          </w:p>
          <w:p w:rsidR="00D073A7" w:rsidRDefault="00F73F1E">
            <w:pPr>
              <w:spacing w:line="560" w:lineRule="exact"/>
              <w:ind w:firstLineChars="200" w:firstLine="640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  <w:szCs w:val="18"/>
              </w:rPr>
              <w:t>我市高度重视津港两地科技创新合作。组织天津市科技代表团访</w:t>
            </w:r>
            <w:r>
              <w:rPr>
                <w:rFonts w:eastAsia="仿宋_GB2312"/>
                <w:sz w:val="32"/>
                <w:szCs w:val="18"/>
                <w:lang w:val="en"/>
              </w:rPr>
              <w:t>问</w:t>
            </w:r>
            <w:r>
              <w:rPr>
                <w:rFonts w:eastAsia="仿宋_GB2312"/>
                <w:sz w:val="32"/>
                <w:szCs w:val="18"/>
              </w:rPr>
              <w:t>香港纳米及先进材料研发院，学习交流新型研发机构建设经验，推动核心领域研发成果的落地转化效能。</w:t>
            </w:r>
            <w:r>
              <w:rPr>
                <w:rFonts w:eastAsia="仿宋_GB2312"/>
                <w:sz w:val="32"/>
                <w:szCs w:val="32"/>
              </w:rPr>
              <w:t>邀请香港理工大学代表团访问天津，</w:t>
            </w:r>
            <w:r>
              <w:rPr>
                <w:rFonts w:eastAsia="仿宋_GB2312"/>
                <w:sz w:val="32"/>
              </w:rPr>
              <w:t>在天开西青园召开</w:t>
            </w:r>
            <w:r>
              <w:rPr>
                <w:rFonts w:eastAsia="仿宋_GB2312"/>
                <w:sz w:val="32"/>
              </w:rPr>
              <w:t>“</w:t>
            </w:r>
            <w:r>
              <w:rPr>
                <w:rFonts w:eastAsia="仿宋_GB2312"/>
                <w:sz w:val="32"/>
              </w:rPr>
              <w:t>津港新能源产业技术对接会</w:t>
            </w:r>
            <w:r>
              <w:rPr>
                <w:rFonts w:eastAsia="仿宋_GB2312"/>
                <w:sz w:val="32"/>
              </w:rPr>
              <w:t>”</w:t>
            </w:r>
            <w:r>
              <w:rPr>
                <w:rFonts w:eastAsia="仿宋_GB2312"/>
                <w:sz w:val="32"/>
                <w:szCs w:val="32"/>
              </w:rPr>
              <w:t>，并</w:t>
            </w:r>
            <w:r>
              <w:rPr>
                <w:rFonts w:eastAsia="仿宋_GB2312"/>
                <w:sz w:val="32"/>
              </w:rPr>
              <w:t>与天津工业大学、天津理工大学等高校和科研机构围绕太阳能光伏保温墙体、无人机建筑清洁系统等技术进行对接。同时，安排香港公务员研习班、香港商会代表团等团组访津时赴天开高教科创园参访考察，深化津港科技领域交流合作。</w:t>
            </w:r>
          </w:p>
          <w:p w:rsidR="00D073A7" w:rsidRDefault="00F73F1E">
            <w:pPr>
              <w:spacing w:line="560" w:lineRule="exact"/>
              <w:ind w:firstLine="636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下一步，我市将持续推动津港科技</w:t>
            </w:r>
            <w:r>
              <w:rPr>
                <w:rFonts w:eastAsia="仿宋_GB2312"/>
                <w:sz w:val="32"/>
                <w:szCs w:val="18"/>
              </w:rPr>
              <w:t>创新</w:t>
            </w:r>
            <w:r>
              <w:rPr>
                <w:rFonts w:eastAsia="仿宋_GB2312"/>
                <w:sz w:val="32"/>
                <w:szCs w:val="32"/>
              </w:rPr>
              <w:t>合作，加强科创引导资金建设，支持香港创业投资机构和社会资本在我市投资参与设立基金，围绕人工智能、先进材料、新能源等前沿科技领域开展投资，加速科技成果向现实生产力转化。筹划举办品牌交流活动。天开园筹划与香港科学园等机构共同举办高端化、品牌化的国际交流活</w:t>
            </w:r>
            <w:r>
              <w:rPr>
                <w:rFonts w:eastAsia="仿宋_GB2312"/>
                <w:sz w:val="32"/>
                <w:szCs w:val="32"/>
              </w:rPr>
              <w:lastRenderedPageBreak/>
              <w:t>动，组织开展</w:t>
            </w:r>
            <w:r>
              <w:rPr>
                <w:rFonts w:eastAsia="仿宋_GB2312"/>
                <w:sz w:val="32"/>
                <w:szCs w:val="32"/>
              </w:rPr>
              <w:t>“</w:t>
            </w:r>
            <w:r>
              <w:rPr>
                <w:rFonts w:eastAsia="仿宋_GB2312"/>
                <w:sz w:val="32"/>
                <w:szCs w:val="32"/>
              </w:rPr>
              <w:t>智汇天开</w:t>
            </w:r>
            <w:r>
              <w:rPr>
                <w:rFonts w:eastAsia="仿宋_GB2312"/>
                <w:sz w:val="32"/>
                <w:szCs w:val="32"/>
              </w:rPr>
              <w:t>”</w:t>
            </w:r>
            <w:r>
              <w:rPr>
                <w:rFonts w:eastAsia="仿宋_GB2312"/>
                <w:sz w:val="32"/>
                <w:szCs w:val="32"/>
              </w:rPr>
              <w:t>系列活动，邀请津港科技合作项目负责人走进天开园，推动更多科技成果在天开园落地转化。</w:t>
            </w:r>
          </w:p>
          <w:p w:rsidR="00D073A7" w:rsidRDefault="00F73F1E">
            <w:pPr>
              <w:spacing w:line="580" w:lineRule="exact"/>
              <w:ind w:firstLine="648"/>
              <w:rPr>
                <w:rFonts w:eastAsia="黑体"/>
                <w:sz w:val="32"/>
                <w:szCs w:val="32"/>
              </w:rPr>
            </w:pPr>
            <w:r>
              <w:rPr>
                <w:rFonts w:eastAsia="黑体"/>
                <w:sz w:val="32"/>
                <w:szCs w:val="32"/>
              </w:rPr>
              <w:t>三、在教育领域</w:t>
            </w:r>
          </w:p>
          <w:p w:rsidR="00D073A7" w:rsidRDefault="00F73F1E">
            <w:pPr>
              <w:spacing w:line="580" w:lineRule="exact"/>
              <w:ind w:firstLine="648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b/>
                <w:bCs/>
                <w:sz w:val="32"/>
                <w:szCs w:val="32"/>
              </w:rPr>
              <w:t>一是</w:t>
            </w:r>
            <w:r>
              <w:rPr>
                <w:rFonts w:eastAsia="仿宋_GB2312"/>
                <w:sz w:val="32"/>
                <w:szCs w:val="32"/>
              </w:rPr>
              <w:t>开展津港教育联合培养。目前天津大学、南开大学与香港理工大学、香港城市大学均有联合培养博士研究生的项目，鼓励支持天津高校与香港高校联合培养研究生</w:t>
            </w:r>
            <w:r>
              <w:rPr>
                <w:rFonts w:eastAsia="仿宋_GB2312"/>
                <w:b/>
                <w:bCs/>
                <w:sz w:val="32"/>
                <w:szCs w:val="32"/>
              </w:rPr>
              <w:t>。</w:t>
            </w:r>
            <w:r>
              <w:rPr>
                <w:rFonts w:eastAsia="仿宋_GB2312"/>
                <w:sz w:val="32"/>
                <w:szCs w:val="32"/>
              </w:rPr>
              <w:t>同时，鼓励津港高校联合培养研究生在天开园创办企业。</w:t>
            </w:r>
            <w:r>
              <w:rPr>
                <w:rFonts w:eastAsia="仿宋_GB2312"/>
                <w:b/>
                <w:bCs/>
                <w:sz w:val="32"/>
                <w:szCs w:val="32"/>
              </w:rPr>
              <w:t>二是</w:t>
            </w:r>
            <w:r>
              <w:rPr>
                <w:rFonts w:eastAsia="仿宋_GB2312"/>
                <w:sz w:val="32"/>
                <w:szCs w:val="32"/>
              </w:rPr>
              <w:t>鼓励香港人才来津发展。</w:t>
            </w:r>
            <w:r>
              <w:rPr>
                <w:rFonts w:eastAsia="仿宋_GB2312"/>
                <w:sz w:val="32"/>
                <w:szCs w:val="32"/>
              </w:rPr>
              <w:t>2025</w:t>
            </w:r>
            <w:r>
              <w:rPr>
                <w:rFonts w:eastAsia="仿宋_GB2312"/>
                <w:sz w:val="32"/>
                <w:szCs w:val="32"/>
              </w:rPr>
              <w:t>年，我市拟赴香港举办</w:t>
            </w:r>
            <w:r>
              <w:rPr>
                <w:rFonts w:eastAsia="仿宋_GB2312"/>
                <w:sz w:val="32"/>
                <w:szCs w:val="32"/>
              </w:rPr>
              <w:t>“2025</w:t>
            </w:r>
            <w:r>
              <w:rPr>
                <w:rFonts w:eastAsia="仿宋_GB2312"/>
                <w:sz w:val="32"/>
                <w:szCs w:val="32"/>
              </w:rPr>
              <w:t>创新香港</w:t>
            </w:r>
            <w:r>
              <w:rPr>
                <w:rFonts w:eastAsia="仿宋_GB2312"/>
                <w:sz w:val="32"/>
                <w:szCs w:val="32"/>
              </w:rPr>
              <w:t>-</w:t>
            </w:r>
            <w:r>
              <w:rPr>
                <w:rFonts w:eastAsia="仿宋_GB2312"/>
                <w:sz w:val="32"/>
                <w:szCs w:val="32"/>
              </w:rPr>
              <w:t>国际人才嘉年华</w:t>
            </w:r>
            <w:r>
              <w:rPr>
                <w:rFonts w:eastAsia="仿宋_GB2312"/>
                <w:sz w:val="32"/>
                <w:szCs w:val="32"/>
              </w:rPr>
              <w:t>”</w:t>
            </w:r>
            <w:r>
              <w:rPr>
                <w:rFonts w:eastAsia="仿宋_GB2312"/>
                <w:sz w:val="32"/>
                <w:szCs w:val="32"/>
              </w:rPr>
              <w:t>活动，将在香港科技大学开展专场对接洽谈会，面向学校高端人才举行现场招聘会，吸引香港高校科技工作者来津发展。</w:t>
            </w:r>
            <w:r>
              <w:rPr>
                <w:rFonts w:eastAsia="仿宋_GB2312"/>
                <w:b/>
                <w:bCs/>
                <w:sz w:val="32"/>
                <w:szCs w:val="32"/>
              </w:rPr>
              <w:t>三是</w:t>
            </w:r>
            <w:r>
              <w:rPr>
                <w:rFonts w:eastAsia="仿宋_GB2312"/>
                <w:sz w:val="32"/>
                <w:szCs w:val="32"/>
              </w:rPr>
              <w:t>支持天津人才赴港交流。充分发挥天津市教委与田家炳教育基金会合作协议作用，拟定</w:t>
            </w:r>
            <w:r>
              <w:rPr>
                <w:rFonts w:eastAsia="仿宋_GB2312"/>
                <w:sz w:val="32"/>
                <w:szCs w:val="32"/>
              </w:rPr>
              <w:t>2025</w:t>
            </w:r>
            <w:r>
              <w:rPr>
                <w:rFonts w:eastAsia="仿宋_GB2312"/>
                <w:sz w:val="32"/>
                <w:szCs w:val="32"/>
              </w:rPr>
              <w:t>年</w:t>
            </w:r>
            <w:r>
              <w:rPr>
                <w:rFonts w:eastAsia="仿宋_GB2312"/>
                <w:sz w:val="32"/>
                <w:szCs w:val="32"/>
              </w:rPr>
              <w:t>4</w:t>
            </w:r>
            <w:r>
              <w:rPr>
                <w:rFonts w:eastAsia="仿宋_GB2312"/>
                <w:sz w:val="32"/>
                <w:szCs w:val="32"/>
              </w:rPr>
              <w:t>月份，组织天津市骨干教师校长代表、田家炳中学管理干部、教师代表等团组，赴香港开展教育培训，不断深化津港两地交流合作。</w:t>
            </w:r>
          </w:p>
          <w:p w:rsidR="00D073A7" w:rsidRDefault="00F73F1E">
            <w:pPr>
              <w:spacing w:line="600" w:lineRule="exact"/>
              <w:ind w:firstLine="645"/>
              <w:rPr>
                <w:rFonts w:eastAsia="黑体"/>
                <w:sz w:val="32"/>
                <w:szCs w:val="32"/>
              </w:rPr>
            </w:pPr>
            <w:r>
              <w:rPr>
                <w:rFonts w:eastAsia="黑体"/>
                <w:sz w:val="32"/>
                <w:szCs w:val="32"/>
              </w:rPr>
              <w:t>四、在人才交流方面</w:t>
            </w:r>
          </w:p>
          <w:p w:rsidR="00D073A7" w:rsidRDefault="00F73F1E">
            <w:pPr>
              <w:spacing w:line="600" w:lineRule="exact"/>
              <w:ind w:firstLine="645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近年来，我市深入实施</w:t>
            </w:r>
            <w:r>
              <w:rPr>
                <w:rFonts w:eastAsia="仿宋_GB2312"/>
                <w:sz w:val="32"/>
                <w:szCs w:val="32"/>
              </w:rPr>
              <w:t>“</w:t>
            </w:r>
            <w:r>
              <w:rPr>
                <w:rFonts w:eastAsia="仿宋_GB2312"/>
                <w:sz w:val="32"/>
                <w:szCs w:val="32"/>
              </w:rPr>
              <w:t>海河英才</w:t>
            </w:r>
            <w:r>
              <w:rPr>
                <w:rFonts w:eastAsia="仿宋_GB2312"/>
                <w:sz w:val="32"/>
                <w:szCs w:val="32"/>
              </w:rPr>
              <w:t>”</w:t>
            </w:r>
            <w:r>
              <w:rPr>
                <w:rFonts w:eastAsia="仿宋_GB2312"/>
                <w:sz w:val="32"/>
                <w:szCs w:val="32"/>
              </w:rPr>
              <w:t>行动计划，通过各类</w:t>
            </w:r>
            <w:r>
              <w:rPr>
                <w:rFonts w:eastAsia="仿宋_GB2312"/>
                <w:sz w:val="32"/>
                <w:szCs w:val="32"/>
              </w:rPr>
              <w:t>“</w:t>
            </w:r>
            <w:r>
              <w:rPr>
                <w:rFonts w:eastAsia="仿宋_GB2312"/>
                <w:sz w:val="32"/>
                <w:szCs w:val="32"/>
              </w:rPr>
              <w:t>会、展、盟、行、赛</w:t>
            </w:r>
            <w:r>
              <w:rPr>
                <w:rFonts w:eastAsia="仿宋_GB2312"/>
                <w:sz w:val="32"/>
                <w:szCs w:val="32"/>
              </w:rPr>
              <w:t>”</w:t>
            </w:r>
            <w:r>
              <w:rPr>
                <w:rFonts w:eastAsia="仿宋_GB2312"/>
                <w:sz w:val="32"/>
                <w:szCs w:val="32"/>
              </w:rPr>
              <w:t>等活动，不断加大津港两地人才交流引进力度。</w:t>
            </w:r>
            <w:r>
              <w:rPr>
                <w:rFonts w:eastAsia="仿宋_GB2312"/>
                <w:sz w:val="32"/>
                <w:szCs w:val="32"/>
              </w:rPr>
              <w:t>2024</w:t>
            </w:r>
            <w:r>
              <w:rPr>
                <w:rFonts w:eastAsia="仿宋_GB2312"/>
                <w:sz w:val="32"/>
                <w:szCs w:val="32"/>
              </w:rPr>
              <w:t>年，组团赴香港开展人才交流活动，取得了明显成效。</w:t>
            </w:r>
            <w:r>
              <w:rPr>
                <w:rFonts w:eastAsia="仿宋_GB2312"/>
                <w:b/>
                <w:bCs/>
                <w:sz w:val="32"/>
                <w:szCs w:val="32"/>
              </w:rPr>
              <w:t>一是</w:t>
            </w:r>
            <w:r>
              <w:rPr>
                <w:rFonts w:eastAsia="仿宋_GB2312"/>
                <w:sz w:val="32"/>
                <w:szCs w:val="32"/>
              </w:rPr>
              <w:t>印发《关于支持留学回国人员来津创业服务新质生产力发展的若干措施》，制定《关于加快引进培养用好人才服务新质生产力发展的若干措施》（</w:t>
            </w:r>
            <w:r>
              <w:rPr>
                <w:rFonts w:eastAsia="仿宋_GB2312"/>
                <w:sz w:val="32"/>
                <w:szCs w:val="32"/>
              </w:rPr>
              <w:t>“</w:t>
            </w:r>
            <w:r>
              <w:rPr>
                <w:rFonts w:eastAsia="仿宋_GB2312"/>
                <w:sz w:val="32"/>
                <w:szCs w:val="32"/>
              </w:rPr>
              <w:t>海河英才</w:t>
            </w:r>
            <w:r>
              <w:rPr>
                <w:rFonts w:eastAsia="仿宋_GB2312"/>
                <w:sz w:val="32"/>
                <w:szCs w:val="32"/>
              </w:rPr>
              <w:t>”</w:t>
            </w:r>
            <w:r>
              <w:rPr>
                <w:rFonts w:eastAsia="仿宋_GB2312"/>
                <w:sz w:val="32"/>
                <w:szCs w:val="32"/>
              </w:rPr>
              <w:t>行动计划升级版）及《天津市留学回国人</w:t>
            </w:r>
            <w:r>
              <w:rPr>
                <w:rFonts w:eastAsia="仿宋_GB2312"/>
                <w:sz w:val="32"/>
                <w:szCs w:val="32"/>
              </w:rPr>
              <w:lastRenderedPageBreak/>
              <w:t>员创业启动专项实施办法》，吸引海外人次来津创业就业。</w:t>
            </w:r>
            <w:r>
              <w:rPr>
                <w:rFonts w:eastAsia="仿宋_GB2312"/>
                <w:b/>
                <w:bCs/>
                <w:sz w:val="32"/>
                <w:szCs w:val="32"/>
              </w:rPr>
              <w:t>二是</w:t>
            </w:r>
            <w:r>
              <w:rPr>
                <w:rFonts w:eastAsia="仿宋_GB2312"/>
                <w:sz w:val="32"/>
                <w:szCs w:val="32"/>
              </w:rPr>
              <w:t>开展津港人才交流活动。组织</w:t>
            </w:r>
            <w:r>
              <w:rPr>
                <w:rFonts w:eastAsia="仿宋_GB2312"/>
                <w:sz w:val="32"/>
                <w:szCs w:val="32"/>
              </w:rPr>
              <w:t>6</w:t>
            </w:r>
            <w:r>
              <w:rPr>
                <w:rFonts w:eastAsia="仿宋_GB2312"/>
                <w:sz w:val="32"/>
                <w:szCs w:val="32"/>
              </w:rPr>
              <w:t>所市属高校、</w:t>
            </w:r>
            <w:r>
              <w:rPr>
                <w:rFonts w:eastAsia="仿宋_GB2312"/>
                <w:sz w:val="32"/>
                <w:szCs w:val="32"/>
              </w:rPr>
              <w:t>5</w:t>
            </w:r>
            <w:r>
              <w:rPr>
                <w:rFonts w:eastAsia="仿宋_GB2312"/>
                <w:sz w:val="32"/>
                <w:szCs w:val="32"/>
              </w:rPr>
              <w:t>个三甲医院以及经开区、津南区、协和留创园共赴香港，参加</w:t>
            </w:r>
            <w:r>
              <w:rPr>
                <w:rFonts w:eastAsia="仿宋_GB2312"/>
                <w:sz w:val="32"/>
                <w:szCs w:val="32"/>
              </w:rPr>
              <w:t>“2024</w:t>
            </w:r>
            <w:r>
              <w:rPr>
                <w:rFonts w:eastAsia="仿宋_GB2312"/>
                <w:sz w:val="32"/>
                <w:szCs w:val="32"/>
              </w:rPr>
              <w:t>创新香港</w:t>
            </w:r>
            <w:r>
              <w:rPr>
                <w:rFonts w:eastAsia="仿宋_GB2312"/>
                <w:sz w:val="32"/>
                <w:szCs w:val="32"/>
              </w:rPr>
              <w:t>-</w:t>
            </w:r>
            <w:r>
              <w:rPr>
                <w:rFonts w:eastAsia="仿宋_GB2312"/>
                <w:sz w:val="32"/>
                <w:szCs w:val="32"/>
              </w:rPr>
              <w:t>国际人才嘉年华活动</w:t>
            </w:r>
            <w:r>
              <w:rPr>
                <w:rFonts w:eastAsia="仿宋_GB2312"/>
                <w:sz w:val="32"/>
                <w:szCs w:val="32"/>
              </w:rPr>
              <w:t>”</w:t>
            </w:r>
            <w:r>
              <w:rPr>
                <w:rFonts w:eastAsia="仿宋_GB2312"/>
                <w:sz w:val="32"/>
                <w:szCs w:val="32"/>
              </w:rPr>
              <w:t>，推介我市引才政策和人才环境，诚邀天下英才来津发展。组织香港</w:t>
            </w:r>
            <w:r>
              <w:rPr>
                <w:rFonts w:eastAsia="仿宋_GB2312"/>
                <w:sz w:val="32"/>
                <w:szCs w:val="32"/>
              </w:rPr>
              <w:t>“</w:t>
            </w:r>
            <w:r>
              <w:rPr>
                <w:rFonts w:eastAsia="仿宋_GB2312"/>
                <w:sz w:val="32"/>
                <w:szCs w:val="32"/>
              </w:rPr>
              <w:t>海河英才</w:t>
            </w:r>
            <w:r>
              <w:rPr>
                <w:rFonts w:eastAsia="仿宋_GB2312"/>
                <w:sz w:val="32"/>
                <w:szCs w:val="32"/>
              </w:rPr>
              <w:t>”</w:t>
            </w:r>
            <w:r>
              <w:rPr>
                <w:rFonts w:eastAsia="仿宋_GB2312"/>
                <w:sz w:val="32"/>
                <w:szCs w:val="32"/>
              </w:rPr>
              <w:t>专场招聘会，现场与来自香港著名高校及国外知名院校的博士、博士后等近千名各类人才进行对接交流。赴香港工程师学会开展人才交流合作洽谈，吸引香港高水平专业技术人才来津工作。活动期间，天津代表团积极对接香港各方资源，经济技术开发区与香港科学园达成了合作意向，天津市眼科医院、天津市第一中心医院与香港眼科医院、香港中文大学眼科中心建立了合作关系，将在人才引进、委托培养、学术交流等方面进一步达成协作。</w:t>
            </w:r>
          </w:p>
          <w:p w:rsidR="00D073A7" w:rsidRDefault="00F73F1E">
            <w:pPr>
              <w:spacing w:line="580" w:lineRule="exact"/>
              <w:ind w:firstLine="648"/>
              <w:rPr>
                <w:rFonts w:eastAsia="黑体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下一步，我市将继续通过</w:t>
            </w:r>
            <w:r>
              <w:rPr>
                <w:rFonts w:eastAsia="仿宋_GB2312"/>
                <w:sz w:val="32"/>
                <w:szCs w:val="32"/>
              </w:rPr>
              <w:t>“</w:t>
            </w:r>
            <w:r>
              <w:rPr>
                <w:rFonts w:eastAsia="仿宋_GB2312"/>
                <w:sz w:val="32"/>
                <w:szCs w:val="32"/>
              </w:rPr>
              <w:t>会、展、赛、行</w:t>
            </w:r>
            <w:r>
              <w:rPr>
                <w:rFonts w:eastAsia="仿宋_GB2312"/>
                <w:sz w:val="32"/>
                <w:szCs w:val="32"/>
              </w:rPr>
              <w:t>”</w:t>
            </w:r>
            <w:r>
              <w:rPr>
                <w:rFonts w:eastAsia="仿宋_GB2312"/>
                <w:sz w:val="32"/>
                <w:szCs w:val="32"/>
              </w:rPr>
              <w:t>系列活动，大力集聚海外人才，争取优质海外项目留津发展。组织</w:t>
            </w:r>
            <w:r>
              <w:rPr>
                <w:rFonts w:eastAsia="仿宋_GB2312"/>
                <w:sz w:val="32"/>
                <w:szCs w:val="32"/>
              </w:rPr>
              <w:t>“</w:t>
            </w:r>
            <w:r>
              <w:rPr>
                <w:rFonts w:eastAsia="仿宋_GB2312"/>
                <w:sz w:val="32"/>
                <w:szCs w:val="32"/>
              </w:rPr>
              <w:t>海河英才</w:t>
            </w:r>
            <w:r>
              <w:rPr>
                <w:rFonts w:eastAsia="仿宋_GB2312"/>
                <w:sz w:val="32"/>
                <w:szCs w:val="32"/>
              </w:rPr>
              <w:t>”</w:t>
            </w:r>
            <w:r>
              <w:rPr>
                <w:rFonts w:eastAsia="仿宋_GB2312"/>
                <w:sz w:val="32"/>
                <w:szCs w:val="32"/>
              </w:rPr>
              <w:t>海外人才创业赛，办好海外引才品牌活动，引导留学归国人才将梦想转化为推进天津高质量发展的实际行动，助力实现人才与城市的双向奔赴。举办香港</w:t>
            </w:r>
            <w:r>
              <w:rPr>
                <w:rFonts w:eastAsia="仿宋_GB2312"/>
                <w:sz w:val="32"/>
                <w:szCs w:val="32"/>
              </w:rPr>
              <w:t>“</w:t>
            </w:r>
            <w:r>
              <w:rPr>
                <w:rFonts w:eastAsia="仿宋_GB2312"/>
                <w:sz w:val="32"/>
                <w:szCs w:val="32"/>
              </w:rPr>
              <w:t>海河英才</w:t>
            </w:r>
            <w:r>
              <w:rPr>
                <w:rFonts w:eastAsia="仿宋_GB2312"/>
                <w:sz w:val="32"/>
                <w:szCs w:val="32"/>
              </w:rPr>
              <w:t>”</w:t>
            </w:r>
            <w:r>
              <w:rPr>
                <w:rFonts w:eastAsia="仿宋_GB2312"/>
                <w:sz w:val="32"/>
                <w:szCs w:val="32"/>
              </w:rPr>
              <w:t>专场招聘会，组织我市领军企业、市属高校、三甲医院以及留创园赴香港，推介我市留学回国创业新政和人才产业生态环境，诚邀天下英才来津发展。同时，推动我市重点区和单位积极利用中国海交会、国际人才交流大会等平台宣传我市创新创业环境，对接海外人才项目，吸引更多香港优秀人才来津展业，</w:t>
            </w:r>
            <w:r>
              <w:rPr>
                <w:rFonts w:eastAsia="仿宋_GB2312"/>
                <w:sz w:val="32"/>
                <w:szCs w:val="32"/>
              </w:rPr>
              <w:lastRenderedPageBreak/>
              <w:t>为我市高质量发展提供更多人才支撑。</w:t>
            </w:r>
          </w:p>
          <w:p w:rsidR="00D073A7" w:rsidRDefault="00D073A7">
            <w:pPr>
              <w:spacing w:line="560" w:lineRule="exact"/>
              <w:ind w:firstLineChars="200" w:firstLine="420"/>
              <w:jc w:val="left"/>
            </w:pPr>
          </w:p>
          <w:p w:rsidR="00D073A7" w:rsidRDefault="00D073A7">
            <w:pPr>
              <w:pStyle w:val="a4"/>
              <w:spacing w:line="580" w:lineRule="exact"/>
              <w:rPr>
                <w:rFonts w:ascii="Times New Roman"/>
              </w:rPr>
            </w:pPr>
          </w:p>
          <w:p w:rsidR="00D073A7" w:rsidRDefault="00D073A7">
            <w:pPr>
              <w:spacing w:line="580" w:lineRule="exact"/>
              <w:ind w:rightChars="50" w:right="105" w:firstLineChars="200" w:firstLine="640"/>
              <w:rPr>
                <w:rFonts w:eastAsia="仿宋_GB2312"/>
                <w:sz w:val="32"/>
              </w:rPr>
            </w:pPr>
          </w:p>
        </w:tc>
      </w:tr>
      <w:tr w:rsidR="00D073A7">
        <w:tc>
          <w:tcPr>
            <w:tcW w:w="5000" w:type="pct"/>
            <w:gridSpan w:val="6"/>
            <w:tcBorders>
              <w:tl2br w:val="nil"/>
              <w:tr2bl w:val="nil"/>
            </w:tcBorders>
          </w:tcPr>
          <w:p w:rsidR="00D073A7" w:rsidRDefault="00D073A7" w:rsidP="0082155C">
            <w:pPr>
              <w:spacing w:line="480" w:lineRule="exact"/>
              <w:ind w:rightChars="50" w:right="105"/>
              <w:jc w:val="center"/>
              <w:rPr>
                <w:rFonts w:eastAsia="仿宋_GB2312"/>
                <w:sz w:val="32"/>
              </w:rPr>
            </w:pPr>
          </w:p>
          <w:p w:rsidR="00D073A7" w:rsidRDefault="0082155C" w:rsidP="0082155C">
            <w:pPr>
              <w:spacing w:line="480" w:lineRule="exact"/>
              <w:ind w:rightChars="50" w:right="105"/>
              <w:jc w:val="center"/>
              <w:rPr>
                <w:rFonts w:eastAsia="仿宋_GB2312"/>
                <w:sz w:val="32"/>
              </w:rPr>
            </w:pPr>
            <w:bookmarkStart w:id="3" w:name="now"/>
            <w:r>
              <w:rPr>
                <w:rFonts w:eastAsia="仿宋_GB2312" w:hint="eastAsia"/>
                <w:sz w:val="32"/>
              </w:rPr>
              <w:t xml:space="preserve">                         </w:t>
            </w:r>
            <w:bookmarkStart w:id="4" w:name="_GoBack"/>
            <w:bookmarkEnd w:id="4"/>
            <w:r w:rsidR="00F73F1E">
              <w:rPr>
                <w:rFonts w:eastAsia="仿宋_GB2312"/>
                <w:sz w:val="32"/>
              </w:rPr>
              <w:t>202</w:t>
            </w:r>
            <w:r w:rsidR="00F73F1E">
              <w:rPr>
                <w:rFonts w:eastAsia="仿宋_GB2312" w:hint="eastAsia"/>
                <w:sz w:val="32"/>
              </w:rPr>
              <w:t>5</w:t>
            </w:r>
            <w:r w:rsidR="00F73F1E">
              <w:rPr>
                <w:rFonts w:eastAsia="仿宋_GB2312"/>
                <w:sz w:val="32"/>
              </w:rPr>
              <w:t>年</w:t>
            </w:r>
            <w:r w:rsidR="00A83302">
              <w:rPr>
                <w:rFonts w:eastAsia="仿宋_GB2312" w:hint="eastAsia"/>
                <w:sz w:val="32"/>
              </w:rPr>
              <w:t>4</w:t>
            </w:r>
            <w:r w:rsidR="00F73F1E">
              <w:rPr>
                <w:rFonts w:eastAsia="仿宋_GB2312"/>
                <w:sz w:val="32"/>
              </w:rPr>
              <w:t>月</w:t>
            </w:r>
            <w:r w:rsidR="00A83302">
              <w:rPr>
                <w:rFonts w:eastAsia="仿宋_GB2312" w:hint="eastAsia"/>
                <w:sz w:val="32"/>
              </w:rPr>
              <w:t>2</w:t>
            </w:r>
            <w:r w:rsidR="00F73F1E">
              <w:rPr>
                <w:rFonts w:eastAsia="仿宋_GB2312"/>
                <w:sz w:val="32"/>
              </w:rPr>
              <w:t>日</w:t>
            </w:r>
            <w:bookmarkEnd w:id="3"/>
          </w:p>
          <w:p w:rsidR="00D073A7" w:rsidRDefault="00D073A7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</w:p>
        </w:tc>
      </w:tr>
      <w:tr w:rsidR="00D073A7">
        <w:trPr>
          <w:trHeight w:val="244"/>
        </w:trPr>
        <w:tc>
          <w:tcPr>
            <w:tcW w:w="5000" w:type="pct"/>
            <w:gridSpan w:val="6"/>
            <w:tcBorders>
              <w:tl2br w:val="nil"/>
              <w:tr2bl w:val="nil"/>
            </w:tcBorders>
            <w:vAlign w:val="bottom"/>
          </w:tcPr>
          <w:p w:rsidR="00D073A7" w:rsidRDefault="00F73F1E">
            <w:pPr>
              <w:spacing w:line="480" w:lineRule="exact"/>
              <w:ind w:rightChars="50" w:right="105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  <w:szCs w:val="18"/>
              </w:rPr>
              <w:t xml:space="preserve"> </w:t>
            </w:r>
            <w:bookmarkStart w:id="5" w:name="fyr"/>
            <w:bookmarkEnd w:id="5"/>
          </w:p>
        </w:tc>
      </w:tr>
      <w:tr w:rsidR="00D073A7">
        <w:trPr>
          <w:trHeight w:val="606"/>
        </w:trPr>
        <w:tc>
          <w:tcPr>
            <w:tcW w:w="950" w:type="pct"/>
            <w:tcBorders>
              <w:tl2br w:val="nil"/>
              <w:tr2bl w:val="nil"/>
            </w:tcBorders>
          </w:tcPr>
          <w:p w:rsidR="00D073A7" w:rsidRDefault="00F73F1E">
            <w:pPr>
              <w:spacing w:line="480" w:lineRule="exact"/>
              <w:ind w:rightChars="50" w:right="105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工作人员：</w:t>
            </w:r>
          </w:p>
        </w:tc>
        <w:tc>
          <w:tcPr>
            <w:tcW w:w="1476" w:type="pct"/>
            <w:tcBorders>
              <w:tl2br w:val="nil"/>
              <w:tr2bl w:val="nil"/>
            </w:tcBorders>
          </w:tcPr>
          <w:p w:rsidR="00D073A7" w:rsidRDefault="00F73F1E">
            <w:pPr>
              <w:spacing w:line="480" w:lineRule="exact"/>
              <w:ind w:rightChars="50" w:right="105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赵岩</w:t>
            </w:r>
          </w:p>
        </w:tc>
        <w:tc>
          <w:tcPr>
            <w:tcW w:w="977" w:type="pct"/>
            <w:gridSpan w:val="2"/>
            <w:tcBorders>
              <w:tl2br w:val="nil"/>
              <w:tr2bl w:val="nil"/>
            </w:tcBorders>
          </w:tcPr>
          <w:p w:rsidR="00D073A7" w:rsidRDefault="00F73F1E">
            <w:pPr>
              <w:spacing w:line="480" w:lineRule="exact"/>
              <w:ind w:rightChars="50" w:right="105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联系电话：</w:t>
            </w:r>
          </w:p>
        </w:tc>
        <w:tc>
          <w:tcPr>
            <w:tcW w:w="1595" w:type="pct"/>
            <w:gridSpan w:val="2"/>
            <w:tcBorders>
              <w:tl2br w:val="nil"/>
              <w:tr2bl w:val="nil"/>
            </w:tcBorders>
          </w:tcPr>
          <w:p w:rsidR="00D073A7" w:rsidRDefault="00F73F1E">
            <w:pPr>
              <w:spacing w:line="480" w:lineRule="exact"/>
              <w:ind w:rightChars="50" w:right="105"/>
              <w:rPr>
                <w:rFonts w:eastAsia="仿宋_GB2312"/>
                <w:sz w:val="32"/>
              </w:rPr>
            </w:pPr>
            <w:r>
              <w:rPr>
                <w:rFonts w:eastAsia="仿宋_GB2312" w:hint="eastAsia"/>
                <w:sz w:val="32"/>
              </w:rPr>
              <w:t>63085</w:t>
            </w:r>
            <w:r>
              <w:rPr>
                <w:rFonts w:eastAsia="仿宋_GB2312"/>
                <w:sz w:val="32"/>
              </w:rPr>
              <w:t>813</w:t>
            </w:r>
          </w:p>
        </w:tc>
      </w:tr>
    </w:tbl>
    <w:p w:rsidR="00D073A7" w:rsidRDefault="00D073A7">
      <w:pPr>
        <w:spacing w:line="20" w:lineRule="exact"/>
        <w:ind w:rightChars="548" w:right="1151"/>
      </w:pPr>
    </w:p>
    <w:p w:rsidR="00D073A7" w:rsidRDefault="00D073A7"/>
    <w:sectPr w:rsidR="00D073A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098" w:right="1361" w:bottom="1985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584D" w:rsidRDefault="00A0584D">
      <w:r>
        <w:separator/>
      </w:r>
    </w:p>
  </w:endnote>
  <w:endnote w:type="continuationSeparator" w:id="0">
    <w:p w:rsidR="00A0584D" w:rsidRDefault="00A058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华文中宋">
    <w:altName w:val="汉仪中宋简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73A7" w:rsidRDefault="00F73F1E">
    <w:pPr>
      <w:pStyle w:val="a5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D073A7" w:rsidRDefault="00D073A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73A7" w:rsidRDefault="00F73F1E">
    <w:pPr>
      <w:pStyle w:val="a5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82155C">
      <w:rPr>
        <w:rStyle w:val="aa"/>
        <w:noProof/>
      </w:rPr>
      <w:t>3</w:t>
    </w:r>
    <w:r>
      <w:rPr>
        <w:rStyle w:val="aa"/>
      </w:rPr>
      <w:fldChar w:fldCharType="end"/>
    </w:r>
  </w:p>
  <w:p w:rsidR="00D073A7" w:rsidRDefault="00D073A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73A7" w:rsidRDefault="00D073A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584D" w:rsidRDefault="00A0584D">
      <w:r>
        <w:separator/>
      </w:r>
    </w:p>
  </w:footnote>
  <w:footnote w:type="continuationSeparator" w:id="0">
    <w:p w:rsidR="00A0584D" w:rsidRDefault="00A058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73A7" w:rsidRDefault="00D073A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73A7" w:rsidRDefault="00D073A7">
    <w:pPr>
      <w:pStyle w:val="a8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73A7" w:rsidRDefault="00D073A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AC2A859F"/>
    <w:multiLevelType w:val="multilevel"/>
    <w:tmpl w:val="AC2A859F"/>
    <w:lvl w:ilvl="0">
      <w:start w:val="1"/>
      <w:numFmt w:val="chineseCounting"/>
      <w:pStyle w:val="-"/>
      <w:suff w:val="nothing"/>
      <w:lvlText w:val="（%1）"/>
      <w:lvlJc w:val="left"/>
      <w:pPr>
        <w:tabs>
          <w:tab w:val="left" w:pos="0"/>
        </w:tabs>
        <w:ind w:left="0" w:firstLine="400"/>
      </w:pPr>
      <w:rPr>
        <w:rFonts w:ascii="仿宋_GB2312" w:eastAsia="仿宋_GB2312" w:hAnsi="仿宋_GB2312" w:cs="宋体" w:hint="eastAsia"/>
        <w:sz w:val="32"/>
      </w:rPr>
    </w:lvl>
    <w:lvl w:ilvl="1">
      <w:start w:val="1"/>
      <w:numFmt w:val="decimal"/>
      <w:suff w:val="nothing"/>
      <w:lvlText w:val="%2．"/>
      <w:lvlJc w:val="left"/>
      <w:pPr>
        <w:ind w:left="0" w:firstLine="400"/>
      </w:pPr>
      <w:rPr>
        <w:rFonts w:hint="eastAsia"/>
      </w:rPr>
    </w:lvl>
    <w:lvl w:ilvl="2">
      <w:start w:val="1"/>
      <w:numFmt w:val="decimal"/>
      <w:suff w:val="nothing"/>
      <w:lvlText w:val="（%3）"/>
      <w:lvlJc w:val="left"/>
      <w:pPr>
        <w:ind w:left="0" w:firstLine="402"/>
      </w:pPr>
      <w:rPr>
        <w:rFonts w:hint="eastAsia"/>
      </w:rPr>
    </w:lvl>
    <w:lvl w:ilvl="3">
      <w:start w:val="1"/>
      <w:numFmt w:val="decimalEnclosedCircleChinese"/>
      <w:suff w:val="nothing"/>
      <w:lvlText w:val="%4 "/>
      <w:lvlJc w:val="left"/>
      <w:pPr>
        <w:ind w:left="0" w:firstLine="402"/>
      </w:pPr>
      <w:rPr>
        <w:rFonts w:hint="eastAsia"/>
      </w:rPr>
    </w:lvl>
    <w:lvl w:ilvl="4">
      <w:start w:val="1"/>
      <w:numFmt w:val="decimal"/>
      <w:suff w:val="nothing"/>
      <w:lvlText w:val="%5）"/>
      <w:lvlJc w:val="left"/>
      <w:pPr>
        <w:ind w:left="0" w:firstLine="402"/>
      </w:pPr>
      <w:rPr>
        <w:rFonts w:hint="eastAsia"/>
      </w:rPr>
    </w:lvl>
    <w:lvl w:ilvl="5">
      <w:start w:val="1"/>
      <w:numFmt w:val="lowerLetter"/>
      <w:suff w:val="nothing"/>
      <w:lvlText w:val="%6．"/>
      <w:lvlJc w:val="left"/>
      <w:pPr>
        <w:ind w:left="0" w:firstLine="402"/>
      </w:pPr>
      <w:rPr>
        <w:rFonts w:hint="eastAsia"/>
      </w:rPr>
    </w:lvl>
    <w:lvl w:ilvl="6">
      <w:start w:val="1"/>
      <w:numFmt w:val="lowerLetter"/>
      <w:suff w:val="nothing"/>
      <w:lvlText w:val="%7）"/>
      <w:lvlJc w:val="left"/>
      <w:pPr>
        <w:ind w:left="0" w:firstLine="402"/>
      </w:pPr>
      <w:rPr>
        <w:rFonts w:hint="eastAsia"/>
      </w:rPr>
    </w:lvl>
    <w:lvl w:ilvl="7">
      <w:start w:val="1"/>
      <w:numFmt w:val="lowerRoman"/>
      <w:suff w:val="nothing"/>
      <w:lvlText w:val="%8. "/>
      <w:lvlJc w:val="left"/>
      <w:pPr>
        <w:ind w:left="0" w:firstLine="402"/>
      </w:pPr>
      <w:rPr>
        <w:rFonts w:hint="eastAsia"/>
      </w:rPr>
    </w:lvl>
    <w:lvl w:ilvl="8">
      <w:start w:val="1"/>
      <w:numFmt w:val="lowerRoman"/>
      <w:suff w:val="nothing"/>
      <w:lvlText w:val="%9）"/>
      <w:lvlJc w:val="left"/>
      <w:pPr>
        <w:ind w:left="0" w:firstLine="402"/>
      </w:pPr>
      <w:rPr>
        <w:rFonts w:hint="eastAsia"/>
      </w:rPr>
    </w:lvl>
  </w:abstractNum>
  <w:abstractNum w:abstractNumId="1">
    <w:nsid w:val="BBBF1A9A"/>
    <w:multiLevelType w:val="singleLevel"/>
    <w:tmpl w:val="BBBF1A9A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cumentProtection w:edit="readOnly" w:enforcement="0"/>
  <w:defaultTabStop w:val="42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8FFE7609"/>
    <w:rsid w:val="9BDA16FE"/>
    <w:rsid w:val="DA3ECA11"/>
    <w:rsid w:val="E6DB938D"/>
    <w:rsid w:val="F5F933B4"/>
    <w:rsid w:val="FEDD1481"/>
    <w:rsid w:val="FF77CF99"/>
    <w:rsid w:val="FFFB0D1C"/>
    <w:rsid w:val="0008725F"/>
    <w:rsid w:val="00116DAE"/>
    <w:rsid w:val="00151656"/>
    <w:rsid w:val="00160D66"/>
    <w:rsid w:val="00172A27"/>
    <w:rsid w:val="0018011C"/>
    <w:rsid w:val="00181F02"/>
    <w:rsid w:val="001A7225"/>
    <w:rsid w:val="001F61E3"/>
    <w:rsid w:val="002371A3"/>
    <w:rsid w:val="00261F6E"/>
    <w:rsid w:val="00272F04"/>
    <w:rsid w:val="00272F5E"/>
    <w:rsid w:val="00296F01"/>
    <w:rsid w:val="002B29B1"/>
    <w:rsid w:val="002C1912"/>
    <w:rsid w:val="002F0464"/>
    <w:rsid w:val="002F2BA0"/>
    <w:rsid w:val="00307EB1"/>
    <w:rsid w:val="003308ED"/>
    <w:rsid w:val="00354A16"/>
    <w:rsid w:val="00372068"/>
    <w:rsid w:val="00375D6E"/>
    <w:rsid w:val="00382172"/>
    <w:rsid w:val="004277E8"/>
    <w:rsid w:val="00460BAF"/>
    <w:rsid w:val="004C2F93"/>
    <w:rsid w:val="0052525D"/>
    <w:rsid w:val="00575302"/>
    <w:rsid w:val="0059759C"/>
    <w:rsid w:val="005B7C6A"/>
    <w:rsid w:val="005D25F2"/>
    <w:rsid w:val="005E0C68"/>
    <w:rsid w:val="005E7285"/>
    <w:rsid w:val="005F2062"/>
    <w:rsid w:val="005F5E66"/>
    <w:rsid w:val="00663555"/>
    <w:rsid w:val="007616B6"/>
    <w:rsid w:val="007746FD"/>
    <w:rsid w:val="007B2223"/>
    <w:rsid w:val="007D7D3A"/>
    <w:rsid w:val="007E1B8B"/>
    <w:rsid w:val="008155F9"/>
    <w:rsid w:val="0082155C"/>
    <w:rsid w:val="00821E10"/>
    <w:rsid w:val="008222BF"/>
    <w:rsid w:val="00843262"/>
    <w:rsid w:val="00883F64"/>
    <w:rsid w:val="00895F09"/>
    <w:rsid w:val="00917F65"/>
    <w:rsid w:val="00930E75"/>
    <w:rsid w:val="00953B90"/>
    <w:rsid w:val="00982E66"/>
    <w:rsid w:val="009A0C11"/>
    <w:rsid w:val="009A5A86"/>
    <w:rsid w:val="009F568A"/>
    <w:rsid w:val="00A01DE8"/>
    <w:rsid w:val="00A03B4F"/>
    <w:rsid w:val="00A0584D"/>
    <w:rsid w:val="00A83302"/>
    <w:rsid w:val="00AE0062"/>
    <w:rsid w:val="00B21A65"/>
    <w:rsid w:val="00B32F4D"/>
    <w:rsid w:val="00B67BF0"/>
    <w:rsid w:val="00B96B7B"/>
    <w:rsid w:val="00C16116"/>
    <w:rsid w:val="00C40842"/>
    <w:rsid w:val="00C559AE"/>
    <w:rsid w:val="00CC5ACA"/>
    <w:rsid w:val="00CD3DDD"/>
    <w:rsid w:val="00CD5AEB"/>
    <w:rsid w:val="00D07119"/>
    <w:rsid w:val="00D073A7"/>
    <w:rsid w:val="00D47E88"/>
    <w:rsid w:val="00DC2D37"/>
    <w:rsid w:val="00E00CB1"/>
    <w:rsid w:val="00E20115"/>
    <w:rsid w:val="00E81C98"/>
    <w:rsid w:val="00E87832"/>
    <w:rsid w:val="00F20A91"/>
    <w:rsid w:val="00F34F3B"/>
    <w:rsid w:val="00F73F1E"/>
    <w:rsid w:val="00F80197"/>
    <w:rsid w:val="02950A43"/>
    <w:rsid w:val="05FB352C"/>
    <w:rsid w:val="062C73BA"/>
    <w:rsid w:val="0F415A30"/>
    <w:rsid w:val="1A1A2EA1"/>
    <w:rsid w:val="1BE3569F"/>
    <w:rsid w:val="20FE4F37"/>
    <w:rsid w:val="22666FCA"/>
    <w:rsid w:val="23957D52"/>
    <w:rsid w:val="265833FB"/>
    <w:rsid w:val="2A106D0B"/>
    <w:rsid w:val="2DCA2874"/>
    <w:rsid w:val="377A2E5E"/>
    <w:rsid w:val="385C0DBD"/>
    <w:rsid w:val="3A57702C"/>
    <w:rsid w:val="3F3CE55B"/>
    <w:rsid w:val="3FEB9C9A"/>
    <w:rsid w:val="447E3320"/>
    <w:rsid w:val="45CB5298"/>
    <w:rsid w:val="4B30475B"/>
    <w:rsid w:val="4CA33CB0"/>
    <w:rsid w:val="4D14258D"/>
    <w:rsid w:val="55BFA956"/>
    <w:rsid w:val="57073EC0"/>
    <w:rsid w:val="59C6063C"/>
    <w:rsid w:val="63E612D4"/>
    <w:rsid w:val="66F79180"/>
    <w:rsid w:val="693053CC"/>
    <w:rsid w:val="6AB50BAB"/>
    <w:rsid w:val="6BBECCB9"/>
    <w:rsid w:val="6CA056C1"/>
    <w:rsid w:val="6D957ABF"/>
    <w:rsid w:val="7312333B"/>
    <w:rsid w:val="75561D3A"/>
    <w:rsid w:val="7952225A"/>
    <w:rsid w:val="7D174045"/>
    <w:rsid w:val="7D906DB7"/>
    <w:rsid w:val="7E674295"/>
    <w:rsid w:val="7EDEA418"/>
    <w:rsid w:val="7EF51F4A"/>
    <w:rsid w:val="7FFD2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5:docId w15:val="{1FD75532-A288-4341-B130-D0924A571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uiPriority="0" w:qFormat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qFormat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qFormat="1"/>
    <w:lsdException w:name="Body Text First Indent" w:uiPriority="0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 First Indent"/>
    <w:basedOn w:val="a4"/>
    <w:qFormat/>
    <w:pPr>
      <w:ind w:firstLineChars="100" w:firstLine="420"/>
    </w:pPr>
    <w:rPr>
      <w:rFonts w:ascii="Calibri" w:hAnsi="Calibri"/>
    </w:rPr>
  </w:style>
  <w:style w:type="paragraph" w:styleId="a4">
    <w:name w:val="Body Text"/>
    <w:basedOn w:val="a"/>
    <w:next w:val="a5"/>
    <w:semiHidden/>
    <w:qFormat/>
    <w:pPr>
      <w:jc w:val="center"/>
    </w:pPr>
    <w:rPr>
      <w:rFonts w:ascii="宋体"/>
      <w:b/>
      <w:bCs/>
      <w:sz w:val="44"/>
    </w:rPr>
  </w:style>
  <w:style w:type="paragraph" w:styleId="a5">
    <w:name w:val="footer"/>
    <w:basedOn w:val="a"/>
    <w:next w:val="5"/>
    <w:link w:val="Char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index 5"/>
    <w:basedOn w:val="a"/>
    <w:next w:val="a"/>
    <w:qFormat/>
    <w:pPr>
      <w:ind w:left="1680"/>
    </w:pPr>
  </w:style>
  <w:style w:type="paragraph" w:styleId="a6">
    <w:name w:val="Normal Indent"/>
    <w:basedOn w:val="a"/>
    <w:uiPriority w:val="99"/>
    <w:qFormat/>
    <w:pPr>
      <w:ind w:firstLineChars="200" w:firstLine="420"/>
    </w:pPr>
  </w:style>
  <w:style w:type="paragraph" w:styleId="a7">
    <w:name w:val="Date"/>
    <w:basedOn w:val="a"/>
    <w:next w:val="a"/>
    <w:semiHidden/>
    <w:qFormat/>
    <w:pPr>
      <w:ind w:leftChars="2500" w:left="100"/>
    </w:pPr>
    <w:rPr>
      <w:rFonts w:ascii="仿宋_GB2312" w:eastAsia="仿宋_GB2312"/>
      <w:sz w:val="32"/>
    </w:rPr>
  </w:style>
  <w:style w:type="paragraph" w:styleId="2">
    <w:name w:val="Body Text Indent 2"/>
    <w:basedOn w:val="a"/>
    <w:semiHidden/>
    <w:qFormat/>
    <w:pPr>
      <w:ind w:firstLineChars="200" w:firstLine="644"/>
    </w:pPr>
    <w:rPr>
      <w:rFonts w:eastAsia="黑体"/>
      <w:sz w:val="32"/>
    </w:rPr>
  </w:style>
  <w:style w:type="paragraph" w:styleId="a8">
    <w:name w:val="header"/>
    <w:basedOn w:val="a"/>
    <w:link w:val="Char0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2"/>
    <w:uiPriority w:val="59"/>
    <w:qFormat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page number"/>
    <w:basedOn w:val="a1"/>
    <w:qFormat/>
  </w:style>
  <w:style w:type="paragraph" w:customStyle="1" w:styleId="ab">
    <w:name w:val="默认"/>
    <w:qFormat/>
    <w:rPr>
      <w:rFonts w:ascii="Helvetica" w:eastAsia="Helvetica" w:hAnsi="Helvetica" w:cs="Helvetica"/>
      <w:color w:val="000000"/>
      <w:sz w:val="22"/>
      <w:szCs w:val="22"/>
    </w:rPr>
  </w:style>
  <w:style w:type="character" w:customStyle="1" w:styleId="Char0">
    <w:name w:val="页眉 Char"/>
    <w:basedOn w:val="a1"/>
    <w:link w:val="a8"/>
    <w:uiPriority w:val="99"/>
    <w:semiHidden/>
    <w:qFormat/>
    <w:rPr>
      <w:kern w:val="2"/>
      <w:sz w:val="18"/>
      <w:szCs w:val="18"/>
    </w:rPr>
  </w:style>
  <w:style w:type="character" w:customStyle="1" w:styleId="Char">
    <w:name w:val="页脚 Char"/>
    <w:basedOn w:val="a1"/>
    <w:link w:val="a5"/>
    <w:uiPriority w:val="99"/>
    <w:semiHidden/>
    <w:qFormat/>
    <w:rPr>
      <w:kern w:val="2"/>
      <w:sz w:val="18"/>
      <w:szCs w:val="18"/>
    </w:rPr>
  </w:style>
  <w:style w:type="paragraph" w:customStyle="1" w:styleId="-">
    <w:name w:val="公文-三级内容（一）"/>
    <w:basedOn w:val="a"/>
    <w:qFormat/>
    <w:pPr>
      <w:numPr>
        <w:numId w:val="1"/>
      </w:numPr>
      <w:spacing w:line="579" w:lineRule="exact"/>
    </w:pPr>
    <w:rPr>
      <w:rFonts w:ascii="仿宋_GB2312" w:eastAsia="仿宋_GB2312" w:hAnsi="仿宋_GB2312" w:cs="仿宋_GB2312" w:hint="eastAsia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{fbbf2bac-2777-48b9-8fe3-c7d0d6fb2e8a}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BBF2BAC-2777-48B9-8FE3-C7D0D6FB2E8A}"/>
      </w:docPartPr>
      <w:docPartBody>
        <w:p w:rsidR="00CB7417" w:rsidRDefault="00A50A13">
          <w:r>
            <w:rPr>
              <w:color w:val="808080"/>
            </w:rPr>
            <w:t>选择一项。</w:t>
          </w:r>
        </w:p>
      </w:docPartBody>
    </w:docPart>
    <w:docPart>
      <w:docPartPr>
        <w:name w:val="{5664cb10-74fb-4547-88a8-b8c5d4df73ec}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664CB10-74FB-4547-88A8-B8C5D4DF73EC}"/>
      </w:docPartPr>
      <w:docPartBody>
        <w:p w:rsidR="00CB7417" w:rsidRDefault="00A50A13">
          <w:r>
            <w:rPr>
              <w:color w:val="808080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华文中宋">
    <w:altName w:val="汉仪中宋简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420"/>
  <w:characterSpacingControl w:val="doNotCompress"/>
  <w:compat>
    <w:useFELayout/>
    <w:splitPgBreakAndParaMark/>
    <w:compatSetting w:name="compatibilityMode" w:uri="http://schemas.microsoft.com/office/word" w:val="14"/>
  </w:compat>
  <w:rsids>
    <w:rsidRoot w:val="00CB7417"/>
    <w:rsid w:val="00520472"/>
    <w:rsid w:val="00A50A13"/>
    <w:rsid w:val="00CB7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325</Words>
  <Characters>1854</Characters>
  <Application>Microsoft Office Word</Application>
  <DocSecurity>0</DocSecurity>
  <Lines>15</Lines>
  <Paragraphs>4</Paragraphs>
  <ScaleCrop>false</ScaleCrop>
  <Company>spice</Company>
  <LinksUpToDate>false</LinksUpToDate>
  <CharactersWithSpaces>2175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各区县委办局办公室：</dc:title>
  <dc:creator>wjc</dc:creator>
  <cp:lastModifiedBy>Windows User</cp:lastModifiedBy>
  <cp:revision>5</cp:revision>
  <cp:lastPrinted>2025-03-31T09:17:00Z</cp:lastPrinted>
  <dcterms:created xsi:type="dcterms:W3CDTF">2021-04-09T11:49:00Z</dcterms:created>
  <dcterms:modified xsi:type="dcterms:W3CDTF">2025-03-31T08:14:00Z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