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DFF" w:rsidRDefault="00814B50">
      <w:pPr>
        <w:jc w:val="center"/>
        <w:rPr>
          <w:rFonts w:ascii="华文中宋" w:eastAsia="华文中宋" w:hAnsi="华文中宋"/>
          <w:b/>
          <w:bCs/>
          <w:color w:val="FF0000"/>
          <w:sz w:val="84"/>
        </w:rPr>
      </w:pPr>
      <w:bookmarkStart w:id="0" w:name="dw"/>
      <w:r>
        <w:rPr>
          <w:rFonts w:ascii="华文中宋" w:eastAsia="华文中宋" w:hAnsi="华文中宋" w:hint="eastAsia"/>
          <w:b/>
          <w:bCs/>
          <w:color w:val="FF0000"/>
          <w:sz w:val="84"/>
        </w:rPr>
        <w:t>天津市人民政府港澳</w:t>
      </w:r>
    </w:p>
    <w:p w:rsidR="006A1DFF" w:rsidRDefault="00814B50">
      <w:pPr>
        <w:jc w:val="center"/>
        <w:rPr>
          <w:rFonts w:ascii="华文中宋" w:eastAsia="华文中宋" w:hAnsi="华文中宋"/>
          <w:b/>
          <w:bCs/>
          <w:color w:val="FF0000"/>
          <w:sz w:val="84"/>
        </w:rPr>
      </w:pPr>
      <w:r>
        <w:rPr>
          <w:rFonts w:ascii="华文中宋" w:eastAsia="华文中宋" w:hAnsi="华文中宋" w:hint="eastAsia"/>
          <w:b/>
          <w:bCs/>
          <w:color w:val="FF0000"/>
          <w:sz w:val="84"/>
        </w:rPr>
        <w:t>工作办公室</w:t>
      </w:r>
      <w:bookmarkEnd w:id="0"/>
    </w:p>
    <w:p w:rsidR="006A1DFF" w:rsidRDefault="006A1DFF">
      <w:pPr>
        <w:spacing w:line="360" w:lineRule="exact"/>
        <w:rPr>
          <w:rFonts w:ascii="仿宋_GB2312" w:eastAsia="仿宋_GB2312" w:hAnsi="宋体"/>
          <w:sz w:val="30"/>
        </w:rPr>
      </w:pPr>
    </w:p>
    <w:p w:rsidR="006A1DFF" w:rsidRDefault="00814B50">
      <w:pPr>
        <w:rPr>
          <w:rFonts w:ascii="仿宋_GB2312" w:eastAsia="仿宋_GB2312" w:hAnsi="宋体"/>
          <w:sz w:val="13"/>
          <w:szCs w:val="13"/>
        </w:rPr>
      </w:pPr>
      <w:r>
        <w:rPr>
          <w:rFonts w:ascii="仿宋_GB2312" w:eastAsia="仿宋_GB2312" w:hAnsi="宋体"/>
          <w:noProof/>
          <w:sz w:val="13"/>
          <w:szCs w:val="13"/>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0</wp:posOffset>
                </wp:positionV>
                <wp:extent cx="5600700" cy="0"/>
                <wp:effectExtent l="0" t="0" r="0" b="0"/>
                <wp:wrapSquare wrapText="bothSides"/>
                <wp:docPr id="1" name="直线 2"/>
                <wp:cNvGraphicFramePr/>
                <a:graphic xmlns:a="http://schemas.openxmlformats.org/drawingml/2006/main">
                  <a:graphicData uri="http://schemas.microsoft.com/office/word/2010/wordprocessingShape">
                    <wps:wsp>
                      <wps:cNvCnPr/>
                      <wps:spPr>
                        <a:xfrm>
                          <a:off x="0" y="0"/>
                          <a:ext cx="5600700" cy="0"/>
                        </a:xfrm>
                        <a:prstGeom prst="line">
                          <a:avLst/>
                        </a:prstGeom>
                        <a:ln w="9525" cap="flat" cmpd="sng">
                          <a:solidFill>
                            <a:srgbClr val="FF0000"/>
                          </a:solidFill>
                          <a:prstDash val="solid"/>
                          <a:headEnd type="none" w="med" len="med"/>
                          <a:tailEnd type="none" w="med" len="med"/>
                        </a:ln>
                      </wps:spPr>
                      <wps:bodyPr/>
                    </wps:wsp>
                  </a:graphicData>
                </a:graphic>
              </wp:anchor>
            </w:drawing>
          </mc:Choice>
          <mc:Fallback>
            <w:pict>
              <v:line w14:anchorId="6DC1B5E9" id="直线 2" o:spid="_x0000_s1026" style="position:absolute;left:0;text-align:left;z-index:251658240;visibility:visible;mso-wrap-style:square;mso-wrap-distance-left:9pt;mso-wrap-distance-top:0;mso-wrap-distance-right:9pt;mso-wrap-distance-bottom:0;mso-position-horizontal:absolute;mso-position-horizontal-relative:text;mso-position-vertical:absolute;mso-position-vertical-relative:text" from="0,0" to="441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" strokecolor="red">
                <w10:wrap type="square"/>
              </v:line>
            </w:pict>
          </mc:Fallback>
        </mc:AlternateContent>
      </w:r>
    </w:p>
    <w:tbl>
      <w:tblPr>
        <w:tblW w:w="9356" w:type="dxa"/>
        <w:tblInd w:w="-34" w:type="dxa"/>
        <w:tblLook w:val="04A0" w:firstRow="1" w:lastRow="0" w:firstColumn="1" w:lastColumn="0" w:noHBand="0" w:noVBand="1"/>
      </w:tblPr>
      <w:tblGrid>
        <w:gridCol w:w="1778"/>
        <w:gridCol w:w="2762"/>
        <w:gridCol w:w="1272"/>
        <w:gridCol w:w="556"/>
        <w:gridCol w:w="1246"/>
        <w:gridCol w:w="1742"/>
      </w:tblGrid>
      <w:tr w:rsidR="006A1DFF">
        <w:tc>
          <w:tcPr>
            <w:tcW w:w="5000" w:type="pct"/>
            <w:gridSpan w:val="6"/>
            <w:tcBorders>
              <w:tl2br w:val="nil"/>
              <w:tr2bl w:val="nil"/>
            </w:tcBorders>
            <w:vAlign w:val="center"/>
          </w:tcPr>
          <w:p w:rsidR="006A1DFF" w:rsidRDefault="00814B50">
            <w:pPr>
              <w:jc w:val="center"/>
              <w:rPr>
                <w:b/>
                <w:bCs/>
                <w:sz w:val="44"/>
              </w:rPr>
            </w:pPr>
            <w:bookmarkStart w:id="1" w:name="bt"/>
            <w:r>
              <w:rPr>
                <w:b/>
                <w:bCs/>
                <w:sz w:val="44"/>
              </w:rPr>
              <w:t>对市政协第十五届三次会议</w:t>
            </w:r>
            <w:r>
              <w:rPr>
                <w:b/>
                <w:bCs/>
                <w:sz w:val="44"/>
              </w:rPr>
              <w:br/>
            </w:r>
            <w:r>
              <w:rPr>
                <w:b/>
                <w:bCs/>
                <w:sz w:val="44"/>
              </w:rPr>
              <w:t>第</w:t>
            </w:r>
            <w:r>
              <w:rPr>
                <w:rFonts w:hint="eastAsia"/>
                <w:b/>
                <w:bCs/>
                <w:sz w:val="44"/>
              </w:rPr>
              <w:t>0766</w:t>
            </w:r>
            <w:r>
              <w:rPr>
                <w:b/>
                <w:bCs/>
                <w:sz w:val="44"/>
              </w:rPr>
              <w:t>号提案的办理答复</w:t>
            </w:r>
            <w:bookmarkEnd w:id="1"/>
          </w:p>
        </w:tc>
      </w:tr>
      <w:tr w:rsidR="006A1DFF">
        <w:tc>
          <w:tcPr>
            <w:tcW w:w="3106" w:type="pct"/>
            <w:gridSpan w:val="3"/>
            <w:tcBorders>
              <w:tl2br w:val="nil"/>
              <w:tr2bl w:val="nil"/>
            </w:tcBorders>
          </w:tcPr>
          <w:p w:rsidR="006A1DFF" w:rsidRDefault="006A1DFF">
            <w:pPr>
              <w:spacing w:line="480" w:lineRule="exact"/>
              <w:ind w:rightChars="50" w:right="105"/>
              <w:jc w:val="right"/>
              <w:rPr>
                <w:rFonts w:eastAsia="仿宋_GB2312"/>
                <w:sz w:val="32"/>
              </w:rPr>
            </w:pPr>
          </w:p>
        </w:tc>
        <w:tc>
          <w:tcPr>
            <w:tcW w:w="963" w:type="pct"/>
            <w:gridSpan w:val="2"/>
            <w:tcBorders>
              <w:tl2br w:val="nil"/>
              <w:tr2bl w:val="nil"/>
            </w:tcBorders>
          </w:tcPr>
          <w:p w:rsidR="006A1DFF" w:rsidRDefault="00814B50">
            <w:pPr>
              <w:spacing w:line="480" w:lineRule="exact"/>
              <w:ind w:rightChars="50" w:right="105"/>
              <w:jc w:val="left"/>
              <w:rPr>
                <w:rFonts w:eastAsia="仿宋_GB2312"/>
                <w:sz w:val="32"/>
              </w:rPr>
            </w:pPr>
            <w:r>
              <w:rPr>
                <w:rFonts w:eastAsia="仿宋_GB2312"/>
                <w:sz w:val="32"/>
              </w:rPr>
              <w:t xml:space="preserve">　　类别：</w:t>
            </w:r>
          </w:p>
        </w:tc>
        <w:sdt>
          <w:sdtPr>
            <w:rPr>
              <w:rFonts w:eastAsia="仿宋_GB2312"/>
              <w:sz w:val="32"/>
            </w:rPr>
            <w:id w:val="147470906"/>
            <w:placeholder>
              <w:docPart w:val="{fbbf2bac-2777-48b9-8fe3-c7d0d6fb2e8a}"/>
            </w:placeholder>
            <w:dropDownList>
              <w:listItem w:displayText="选择一项。" w:value="选择一项。"/>
              <w:listItem w:displayText="A" w:value="A"/>
              <w:listItem w:displayText="B" w:value="B"/>
              <w:listItem w:displayText="C" w:value="C"/>
            </w:dropDownList>
          </w:sdtPr>
          <w:sdtEndPr/>
          <w:sdtContent>
            <w:tc>
              <w:tcPr>
                <w:tcW w:w="930" w:type="pct"/>
                <w:tcBorders>
                  <w:tl2br w:val="nil"/>
                  <w:tr2bl w:val="nil"/>
                </w:tcBorders>
              </w:tcPr>
              <w:p w:rsidR="006A1DFF" w:rsidRDefault="00814B50">
                <w:pPr>
                  <w:spacing w:line="480" w:lineRule="exact"/>
                  <w:ind w:rightChars="50" w:right="105"/>
                  <w:jc w:val="left"/>
                  <w:rPr>
                    <w:rFonts w:eastAsia="仿宋_GB2312"/>
                    <w:sz w:val="32"/>
                  </w:rPr>
                </w:pPr>
                <w:r>
                  <w:rPr>
                    <w:rFonts w:eastAsia="仿宋_GB2312"/>
                    <w:sz w:val="32"/>
                  </w:rPr>
                  <w:t>A</w:t>
                </w:r>
              </w:p>
            </w:tc>
          </w:sdtContent>
        </w:sdt>
      </w:tr>
      <w:tr w:rsidR="006A1DFF">
        <w:tc>
          <w:tcPr>
            <w:tcW w:w="3106" w:type="pct"/>
            <w:gridSpan w:val="3"/>
            <w:tcBorders>
              <w:tl2br w:val="nil"/>
              <w:tr2bl w:val="nil"/>
            </w:tcBorders>
          </w:tcPr>
          <w:p w:rsidR="006A1DFF" w:rsidRDefault="006A1DFF">
            <w:pPr>
              <w:spacing w:line="480" w:lineRule="exact"/>
              <w:ind w:rightChars="50" w:right="105"/>
              <w:jc w:val="right"/>
              <w:rPr>
                <w:rFonts w:eastAsia="仿宋_GB2312"/>
                <w:sz w:val="32"/>
              </w:rPr>
            </w:pPr>
          </w:p>
        </w:tc>
        <w:tc>
          <w:tcPr>
            <w:tcW w:w="963" w:type="pct"/>
            <w:gridSpan w:val="2"/>
            <w:tcBorders>
              <w:tl2br w:val="nil"/>
              <w:tr2bl w:val="nil"/>
            </w:tcBorders>
          </w:tcPr>
          <w:p w:rsidR="006A1DFF" w:rsidRDefault="00814B50">
            <w:pPr>
              <w:spacing w:line="480" w:lineRule="exact"/>
              <w:ind w:rightChars="50" w:right="105"/>
              <w:jc w:val="left"/>
              <w:rPr>
                <w:rFonts w:eastAsia="仿宋_GB2312"/>
                <w:sz w:val="32"/>
              </w:rPr>
            </w:pPr>
            <w:r>
              <w:rPr>
                <w:rFonts w:eastAsia="仿宋_GB2312"/>
                <w:sz w:val="32"/>
              </w:rPr>
              <w:t>签发领导：</w:t>
            </w:r>
          </w:p>
        </w:tc>
        <w:tc>
          <w:tcPr>
            <w:tcW w:w="930" w:type="pct"/>
            <w:tcBorders>
              <w:tl2br w:val="nil"/>
              <w:tr2bl w:val="nil"/>
            </w:tcBorders>
          </w:tcPr>
          <w:p w:rsidR="006A1DFF" w:rsidRDefault="00814B50">
            <w:pPr>
              <w:spacing w:line="480" w:lineRule="exact"/>
              <w:ind w:rightChars="50" w:right="105"/>
              <w:jc w:val="left"/>
              <w:rPr>
                <w:rFonts w:eastAsia="仿宋_GB2312"/>
                <w:sz w:val="32"/>
              </w:rPr>
            </w:pPr>
            <w:r>
              <w:rPr>
                <w:rFonts w:eastAsia="仿宋_GB2312"/>
                <w:sz w:val="32"/>
              </w:rPr>
              <w:t>栾建章</w:t>
            </w:r>
          </w:p>
        </w:tc>
      </w:tr>
      <w:tr w:rsidR="006A1DFF">
        <w:tc>
          <w:tcPr>
            <w:tcW w:w="3106" w:type="pct"/>
            <w:gridSpan w:val="3"/>
            <w:tcBorders>
              <w:tl2br w:val="nil"/>
              <w:tr2bl w:val="nil"/>
            </w:tcBorders>
          </w:tcPr>
          <w:p w:rsidR="006A1DFF" w:rsidRDefault="006A1DFF">
            <w:pPr>
              <w:spacing w:line="480" w:lineRule="exact"/>
              <w:ind w:rightChars="50" w:right="105"/>
              <w:jc w:val="right"/>
              <w:rPr>
                <w:rFonts w:eastAsia="仿宋_GB2312"/>
                <w:sz w:val="32"/>
              </w:rPr>
            </w:pPr>
          </w:p>
        </w:tc>
        <w:tc>
          <w:tcPr>
            <w:tcW w:w="963" w:type="pct"/>
            <w:gridSpan w:val="2"/>
            <w:tcBorders>
              <w:tl2br w:val="nil"/>
              <w:tr2bl w:val="nil"/>
            </w:tcBorders>
          </w:tcPr>
          <w:p w:rsidR="006A1DFF" w:rsidRDefault="00814B50">
            <w:pPr>
              <w:spacing w:line="480" w:lineRule="exact"/>
              <w:ind w:rightChars="50" w:right="105"/>
              <w:jc w:val="left"/>
              <w:rPr>
                <w:rFonts w:eastAsia="仿宋_GB2312"/>
                <w:sz w:val="32"/>
              </w:rPr>
            </w:pPr>
            <w:r>
              <w:rPr>
                <w:rFonts w:eastAsia="仿宋_GB2312"/>
                <w:sz w:val="32"/>
              </w:rPr>
              <w:t>公开属性：</w:t>
            </w:r>
          </w:p>
        </w:tc>
        <w:sdt>
          <w:sdtPr>
            <w:rPr>
              <w:rFonts w:eastAsia="仿宋_GB2312"/>
              <w:sz w:val="32"/>
            </w:rPr>
            <w:id w:val="147470560"/>
            <w:placeholder>
              <w:docPart w:val="{5664cb10-74fb-4547-88a8-b8c5d4df73ec}"/>
            </w:placeholder>
            <w:dropDownList>
              <w:listItem w:displayText="选择一项。" w:value="选择一项。"/>
              <w:listItem w:displayText="是" w:value="是"/>
              <w:listItem w:displayText="否" w:value="否"/>
            </w:dropDownList>
          </w:sdtPr>
          <w:sdtEndPr/>
          <w:sdtContent>
            <w:tc>
              <w:tcPr>
                <w:tcW w:w="930" w:type="pct"/>
                <w:tcBorders>
                  <w:tl2br w:val="nil"/>
                  <w:tr2bl w:val="nil"/>
                </w:tcBorders>
              </w:tcPr>
              <w:p w:rsidR="006A1DFF" w:rsidRDefault="00814B50">
                <w:pPr>
                  <w:spacing w:line="480" w:lineRule="exact"/>
                  <w:ind w:rightChars="50" w:right="105"/>
                  <w:jc w:val="left"/>
                  <w:rPr>
                    <w:rFonts w:eastAsia="仿宋_GB2312"/>
                    <w:sz w:val="32"/>
                  </w:rPr>
                </w:pPr>
                <w:r>
                  <w:rPr>
                    <w:rFonts w:eastAsia="仿宋_GB2312"/>
                    <w:sz w:val="32"/>
                  </w:rPr>
                  <w:t>是</w:t>
                </w:r>
              </w:p>
            </w:tc>
          </w:sdtContent>
        </w:sdt>
      </w:tr>
      <w:tr w:rsidR="006A1DFF">
        <w:tc>
          <w:tcPr>
            <w:tcW w:w="5000" w:type="pct"/>
            <w:gridSpan w:val="6"/>
            <w:tcBorders>
              <w:tl2br w:val="nil"/>
              <w:tr2bl w:val="nil"/>
            </w:tcBorders>
          </w:tcPr>
          <w:p w:rsidR="006A1DFF" w:rsidRDefault="00814B50">
            <w:pPr>
              <w:spacing w:line="560" w:lineRule="exact"/>
              <w:ind w:rightChars="50" w:right="105"/>
              <w:rPr>
                <w:rFonts w:eastAsia="仿宋_GB2312"/>
                <w:sz w:val="32"/>
              </w:rPr>
            </w:pPr>
            <w:r>
              <w:rPr>
                <w:rFonts w:eastAsia="仿宋_GB2312"/>
                <w:sz w:val="32"/>
              </w:rPr>
              <w:t>陈俊拔委员</w:t>
            </w:r>
            <w:r>
              <w:rPr>
                <w:rFonts w:eastAsia="仿宋_GB2312"/>
                <w:sz w:val="32"/>
              </w:rPr>
              <w:t>：</w:t>
            </w:r>
          </w:p>
        </w:tc>
      </w:tr>
      <w:tr w:rsidR="006A1DFF">
        <w:tc>
          <w:tcPr>
            <w:tcW w:w="5000" w:type="pct"/>
            <w:gridSpan w:val="6"/>
            <w:tcBorders>
              <w:tl2br w:val="nil"/>
              <w:tr2bl w:val="nil"/>
            </w:tcBorders>
          </w:tcPr>
          <w:p w:rsidR="006A1DFF" w:rsidRDefault="00814B50">
            <w:pPr>
              <w:spacing w:line="560" w:lineRule="exact"/>
              <w:rPr>
                <w:rFonts w:eastAsia="仿宋_GB2312"/>
                <w:sz w:val="32"/>
              </w:rPr>
            </w:pPr>
            <w:r>
              <w:rPr>
                <w:rFonts w:eastAsia="仿宋_GB2312"/>
                <w:sz w:val="32"/>
                <w:szCs w:val="18"/>
              </w:rPr>
              <w:t xml:space="preserve">　　</w:t>
            </w:r>
            <w:bookmarkStart w:id="2" w:name="shuo"/>
            <w:r>
              <w:rPr>
                <w:rFonts w:eastAsia="仿宋_GB2312"/>
                <w:sz w:val="32"/>
                <w:szCs w:val="18"/>
              </w:rPr>
              <w:t>您提出的关于进一步促进天津高校科技成果转化的提案，经会同</w:t>
            </w:r>
            <w:r>
              <w:rPr>
                <w:rFonts w:eastAsia="仿宋_GB2312" w:hint="eastAsia"/>
                <w:sz w:val="32"/>
                <w:szCs w:val="18"/>
              </w:rPr>
              <w:t>市教委</w:t>
            </w:r>
            <w:r>
              <w:rPr>
                <w:rFonts w:eastAsia="仿宋_GB2312"/>
                <w:sz w:val="32"/>
                <w:szCs w:val="18"/>
              </w:rPr>
              <w:t>研究答复如下</w:t>
            </w:r>
            <w:bookmarkEnd w:id="2"/>
            <w:r>
              <w:rPr>
                <w:rFonts w:eastAsia="仿宋_GB2312"/>
                <w:sz w:val="32"/>
                <w:szCs w:val="18"/>
              </w:rPr>
              <w:t>：</w:t>
            </w:r>
          </w:p>
        </w:tc>
      </w:tr>
      <w:tr w:rsidR="006A1DFF">
        <w:trPr>
          <w:trHeight w:val="1562"/>
        </w:trPr>
        <w:tc>
          <w:tcPr>
            <w:tcW w:w="5000" w:type="pct"/>
            <w:gridSpan w:val="6"/>
            <w:tcBorders>
              <w:tl2br w:val="nil"/>
              <w:tr2bl w:val="nil"/>
            </w:tcBorders>
          </w:tcPr>
          <w:p w:rsidR="006A1DFF" w:rsidRDefault="00814B50">
            <w:pPr>
              <w:spacing w:line="600" w:lineRule="exact"/>
              <w:ind w:firstLine="640"/>
              <w:rPr>
                <w:rFonts w:eastAsia="仿宋_GB2312"/>
                <w:sz w:val="32"/>
                <w:szCs w:val="18"/>
              </w:rPr>
            </w:pPr>
            <w:r>
              <w:rPr>
                <w:rFonts w:eastAsia="仿宋_GB2312"/>
                <w:sz w:val="32"/>
                <w:szCs w:val="18"/>
              </w:rPr>
              <w:t>我市高度重视与澳门在科技领域交流合作，用好我市科创优势资源深化高校科技成果转化，取得良好成效。</w:t>
            </w:r>
          </w:p>
          <w:p w:rsidR="006A1DFF" w:rsidRDefault="00814B50">
            <w:pPr>
              <w:spacing w:line="600" w:lineRule="exact"/>
              <w:ind w:rightChars="50" w:right="105" w:firstLineChars="200" w:firstLine="643"/>
              <w:rPr>
                <w:rFonts w:eastAsia="仿宋_GB2312"/>
                <w:sz w:val="32"/>
              </w:rPr>
            </w:pPr>
            <w:r>
              <w:rPr>
                <w:rFonts w:eastAsia="仿宋_GB2312"/>
                <w:b/>
                <w:bCs/>
                <w:sz w:val="32"/>
              </w:rPr>
              <w:t>一是</w:t>
            </w:r>
            <w:r>
              <w:rPr>
                <w:rFonts w:eastAsia="仿宋_GB2312"/>
                <w:sz w:val="32"/>
              </w:rPr>
              <w:t>支持津、澳两地高校联合开展科学研究，共同推动科技创新和成果转化。推动天津医科大学、天津中医药大学、天津大学、天津科技大学分别与澳门科技大学、澳门大学等研究单位，围绕节能环保、生物医药领域开展联合研究，支持澳门更好融入国家科技创新体系。天津中医药大学与澳门科技大学在中医药领域建立了联合研究实验室，并和河北工业大学分别与澳门科技大</w:t>
            </w:r>
            <w:r>
              <w:rPr>
                <w:rFonts w:eastAsia="仿宋_GB2312"/>
                <w:sz w:val="32"/>
              </w:rPr>
              <w:lastRenderedPageBreak/>
              <w:t>学、澳门理工大学共同申请国家自然科学基金国际（地区）合作交流项目；天津大学与澳门大学签署了《研究合作与学术交流协议》，与澳门大学、澳门科技大学、澳门暨南大学等联合发表高水平论文</w:t>
            </w:r>
            <w:r>
              <w:rPr>
                <w:rFonts w:eastAsia="仿宋_GB2312"/>
                <w:sz w:val="32"/>
              </w:rPr>
              <w:t>40</w:t>
            </w:r>
            <w:r>
              <w:rPr>
                <w:rFonts w:eastAsia="仿宋_GB2312"/>
                <w:sz w:val="32"/>
              </w:rPr>
              <w:t>余篇</w:t>
            </w:r>
            <w:r>
              <w:rPr>
                <w:rFonts w:eastAsia="仿宋_GB2312"/>
                <w:sz w:val="32"/>
              </w:rPr>
              <w:t>。</w:t>
            </w:r>
          </w:p>
          <w:p w:rsidR="006A1DFF" w:rsidRDefault="00814B50">
            <w:pPr>
              <w:spacing w:line="600" w:lineRule="exact"/>
              <w:ind w:rightChars="50" w:right="105" w:firstLineChars="200" w:firstLine="643"/>
              <w:rPr>
                <w:rFonts w:eastAsia="仿宋_GB2312"/>
                <w:sz w:val="32"/>
              </w:rPr>
            </w:pPr>
            <w:r>
              <w:rPr>
                <w:rFonts w:eastAsia="仿宋_GB2312"/>
                <w:b/>
                <w:bCs/>
                <w:sz w:val="32"/>
              </w:rPr>
              <w:t>二是</w:t>
            </w:r>
            <w:r>
              <w:rPr>
                <w:rFonts w:eastAsia="仿宋_GB2312"/>
                <w:sz w:val="32"/>
              </w:rPr>
              <w:t>支持两地高校联合开展双学位、短期交换生等人才培养项目，为两地科技成果转化提供人才保障。</w:t>
            </w:r>
            <w:r>
              <w:rPr>
                <w:rFonts w:eastAsia="仿宋_GB2312"/>
                <w:sz w:val="32"/>
              </w:rPr>
              <w:t>2021</w:t>
            </w:r>
            <w:r>
              <w:rPr>
                <w:rFonts w:eastAsia="仿宋_GB2312"/>
                <w:sz w:val="32"/>
              </w:rPr>
              <w:t>年，天津大学与澳门大学签署了《交换生协议》，近三年共有澳籍本科生</w:t>
            </w:r>
            <w:r>
              <w:rPr>
                <w:rFonts w:eastAsia="仿宋_GB2312"/>
                <w:sz w:val="32"/>
              </w:rPr>
              <w:t>33</w:t>
            </w:r>
            <w:r>
              <w:rPr>
                <w:rFonts w:eastAsia="仿宋_GB2312"/>
                <w:sz w:val="32"/>
              </w:rPr>
              <w:t>人，硕士生</w:t>
            </w:r>
            <w:r>
              <w:rPr>
                <w:rFonts w:eastAsia="仿宋_GB2312"/>
                <w:sz w:val="32"/>
              </w:rPr>
              <w:t>2</w:t>
            </w:r>
            <w:r>
              <w:rPr>
                <w:rFonts w:eastAsia="仿宋_GB2312"/>
                <w:sz w:val="32"/>
              </w:rPr>
              <w:t>人进入天津大学学习；</w:t>
            </w:r>
            <w:r>
              <w:rPr>
                <w:rFonts w:eastAsia="仿宋_GB2312"/>
                <w:sz w:val="32"/>
              </w:rPr>
              <w:t>2024</w:t>
            </w:r>
            <w:r>
              <w:rPr>
                <w:rFonts w:eastAsia="仿宋_GB2312"/>
                <w:sz w:val="32"/>
              </w:rPr>
              <w:t>年，南开大学与澳门科技大学签订了框架合作协议和学生交换培养协议，在师生交流、联合培养、教学科研等领域开启全新合作，现有澳门学生</w:t>
            </w:r>
            <w:r>
              <w:rPr>
                <w:rFonts w:eastAsia="仿宋_GB2312"/>
                <w:sz w:val="32"/>
              </w:rPr>
              <w:t>107</w:t>
            </w:r>
            <w:r>
              <w:rPr>
                <w:rFonts w:eastAsia="仿宋_GB2312"/>
                <w:sz w:val="32"/>
              </w:rPr>
              <w:t>人，其中本科生</w:t>
            </w:r>
            <w:r>
              <w:rPr>
                <w:rFonts w:eastAsia="仿宋_GB2312"/>
                <w:sz w:val="32"/>
              </w:rPr>
              <w:t>102</w:t>
            </w:r>
            <w:r>
              <w:rPr>
                <w:rFonts w:eastAsia="仿宋_GB2312"/>
                <w:sz w:val="32"/>
              </w:rPr>
              <w:t>人，硕士生</w:t>
            </w:r>
            <w:r>
              <w:rPr>
                <w:rFonts w:eastAsia="仿宋_GB2312"/>
                <w:sz w:val="32"/>
              </w:rPr>
              <w:t>5</w:t>
            </w:r>
            <w:r>
              <w:rPr>
                <w:rFonts w:eastAsia="仿宋_GB2312"/>
                <w:sz w:val="32"/>
              </w:rPr>
              <w:t>人；</w:t>
            </w:r>
            <w:r>
              <w:rPr>
                <w:rFonts w:eastAsia="仿宋_GB2312"/>
                <w:sz w:val="32"/>
              </w:rPr>
              <w:t>2021-2024</w:t>
            </w:r>
            <w:r>
              <w:rPr>
                <w:rFonts w:eastAsia="仿宋_GB2312"/>
                <w:sz w:val="32"/>
              </w:rPr>
              <w:t>年，河北工业大学与澳门理工大学合作申请内地与港澳高等学校师生交流计划，其中澳方学生</w:t>
            </w:r>
            <w:r>
              <w:rPr>
                <w:rFonts w:eastAsia="仿宋_GB2312"/>
                <w:sz w:val="32"/>
              </w:rPr>
              <w:t>18</w:t>
            </w:r>
            <w:r>
              <w:rPr>
                <w:rFonts w:eastAsia="仿宋_GB2312"/>
                <w:sz w:val="32"/>
              </w:rPr>
              <w:t>人与河北工业大学学生</w:t>
            </w:r>
            <w:r>
              <w:rPr>
                <w:rFonts w:eastAsia="仿宋_GB2312"/>
                <w:sz w:val="32"/>
              </w:rPr>
              <w:t>50</w:t>
            </w:r>
            <w:r>
              <w:rPr>
                <w:rFonts w:eastAsia="仿宋_GB2312"/>
                <w:sz w:val="32"/>
              </w:rPr>
              <w:t>余人进</w:t>
            </w:r>
            <w:r>
              <w:rPr>
                <w:rFonts w:eastAsia="仿宋_GB2312"/>
                <w:sz w:val="32"/>
              </w:rPr>
              <w:t>行交换培养，两名学者（陈聪教授与叶正青副教授）入选澳门青年学者计划；</w:t>
            </w:r>
            <w:r>
              <w:rPr>
                <w:rFonts w:eastAsia="仿宋_GB2312"/>
                <w:sz w:val="32"/>
              </w:rPr>
              <w:t>2024</w:t>
            </w:r>
            <w:r>
              <w:rPr>
                <w:rFonts w:eastAsia="仿宋_GB2312"/>
                <w:sz w:val="32"/>
              </w:rPr>
              <w:t>年，天津师范大学</w:t>
            </w:r>
            <w:r>
              <w:rPr>
                <w:rFonts w:eastAsia="仿宋_GB2312"/>
                <w:sz w:val="32"/>
              </w:rPr>
              <w:t>16</w:t>
            </w:r>
            <w:r>
              <w:rPr>
                <w:rFonts w:eastAsia="仿宋_GB2312"/>
                <w:sz w:val="32"/>
              </w:rPr>
              <w:t>位老师赴澳门交流访问。</w:t>
            </w:r>
          </w:p>
          <w:p w:rsidR="006A1DFF" w:rsidRDefault="00814B50">
            <w:pPr>
              <w:spacing w:line="600" w:lineRule="exact"/>
              <w:ind w:firstLineChars="200" w:firstLine="643"/>
              <w:jc w:val="left"/>
              <w:rPr>
                <w:rFonts w:eastAsia="仿宋_GB2312"/>
                <w:sz w:val="32"/>
              </w:rPr>
            </w:pPr>
            <w:r>
              <w:rPr>
                <w:rFonts w:eastAsia="仿宋_GB2312"/>
                <w:b/>
                <w:bCs/>
                <w:sz w:val="32"/>
              </w:rPr>
              <w:t>三是</w:t>
            </w:r>
            <w:r>
              <w:rPr>
                <w:rFonts w:eastAsia="仿宋_GB2312"/>
                <w:sz w:val="32"/>
              </w:rPr>
              <w:t>支持天津高校与澳门高校通过搭建合作平台、优化资源配置、促进人才交流等措施，深化产学研合作，加速科技成果转化。中国民航大学与澳门城市大学签署战略合作框架协议，在珠海横琴合作开展航空领域的学科建设、人才培养、科学研究和职业培训，推动粤港澳大湾区民航高等教育融合发展。天津中医药大学与澳门科技大学在中医药领域开展签署战略合作协议，优势互补、资源共</w:t>
            </w:r>
            <w:r>
              <w:rPr>
                <w:rFonts w:eastAsia="仿宋_GB2312"/>
                <w:sz w:val="32"/>
              </w:rPr>
              <w:lastRenderedPageBreak/>
              <w:t>享。南开大学与澳门大学、复旦大学和中山大学共同发</w:t>
            </w:r>
            <w:r>
              <w:rPr>
                <w:rFonts w:eastAsia="仿宋_GB2312"/>
                <w:sz w:val="32"/>
              </w:rPr>
              <w:t>起成立</w:t>
            </w:r>
            <w:r>
              <w:rPr>
                <w:rFonts w:eastAsia="仿宋_GB2312"/>
                <w:sz w:val="32"/>
              </w:rPr>
              <w:t>“</w:t>
            </w:r>
            <w:r>
              <w:rPr>
                <w:rFonts w:eastAsia="仿宋_GB2312"/>
                <w:sz w:val="32"/>
              </w:rPr>
              <w:t>中国旅游教育合作联盟</w:t>
            </w:r>
            <w:r>
              <w:rPr>
                <w:rFonts w:eastAsia="仿宋_GB2312"/>
                <w:sz w:val="32"/>
              </w:rPr>
              <w:t>”</w:t>
            </w:r>
            <w:r>
              <w:rPr>
                <w:rFonts w:eastAsia="仿宋_GB2312"/>
                <w:sz w:val="32"/>
              </w:rPr>
              <w:t>，在资源共建共享、人才培养、科研合作、协同创新和社会服务等方面深化合作。</w:t>
            </w:r>
          </w:p>
        </w:tc>
      </w:tr>
      <w:tr w:rsidR="006A1DFF">
        <w:tc>
          <w:tcPr>
            <w:tcW w:w="5000" w:type="pct"/>
            <w:gridSpan w:val="6"/>
            <w:tcBorders>
              <w:tl2br w:val="nil"/>
              <w:tr2bl w:val="nil"/>
            </w:tcBorders>
          </w:tcPr>
          <w:p w:rsidR="006A1DFF" w:rsidRDefault="006A1DFF">
            <w:pPr>
              <w:spacing w:line="480" w:lineRule="exact"/>
              <w:ind w:rightChars="50" w:right="105"/>
              <w:rPr>
                <w:rFonts w:eastAsia="仿宋_GB2312"/>
                <w:sz w:val="32"/>
              </w:rPr>
            </w:pPr>
          </w:p>
          <w:p w:rsidR="00D62E2B" w:rsidRDefault="00D62E2B">
            <w:pPr>
              <w:spacing w:line="480" w:lineRule="exact"/>
              <w:ind w:rightChars="50" w:right="105"/>
              <w:jc w:val="right"/>
              <w:rPr>
                <w:rFonts w:eastAsia="仿宋_GB2312"/>
                <w:sz w:val="32"/>
              </w:rPr>
            </w:pPr>
            <w:bookmarkStart w:id="3" w:name="now"/>
          </w:p>
          <w:p w:rsidR="00D62E2B" w:rsidRDefault="00D62E2B">
            <w:pPr>
              <w:spacing w:line="480" w:lineRule="exact"/>
              <w:ind w:rightChars="50" w:right="105"/>
              <w:jc w:val="right"/>
              <w:rPr>
                <w:rFonts w:eastAsia="仿宋_GB2312"/>
                <w:sz w:val="32"/>
              </w:rPr>
            </w:pPr>
          </w:p>
          <w:p w:rsidR="00D62E2B" w:rsidRDefault="00D62E2B">
            <w:pPr>
              <w:spacing w:line="480" w:lineRule="exact"/>
              <w:ind w:rightChars="50" w:right="105"/>
              <w:jc w:val="right"/>
              <w:rPr>
                <w:rFonts w:eastAsia="仿宋_GB2312"/>
                <w:sz w:val="32"/>
              </w:rPr>
            </w:pPr>
          </w:p>
          <w:p w:rsidR="006A1DFF" w:rsidRDefault="00D62E2B" w:rsidP="00D62E2B">
            <w:pPr>
              <w:spacing w:line="480" w:lineRule="exact"/>
              <w:ind w:rightChars="50" w:right="105"/>
              <w:jc w:val="center"/>
              <w:rPr>
                <w:rFonts w:eastAsia="仿宋_GB2312"/>
                <w:sz w:val="32"/>
              </w:rPr>
            </w:pPr>
            <w:r>
              <w:rPr>
                <w:rFonts w:eastAsia="仿宋_GB2312" w:hint="eastAsia"/>
                <w:sz w:val="32"/>
              </w:rPr>
              <w:t xml:space="preserve">                         </w:t>
            </w:r>
            <w:bookmarkStart w:id="4" w:name="_GoBack"/>
            <w:bookmarkEnd w:id="4"/>
            <w:r w:rsidR="00814B50">
              <w:rPr>
                <w:rFonts w:eastAsia="仿宋_GB2312"/>
                <w:sz w:val="32"/>
              </w:rPr>
              <w:t>202</w:t>
            </w:r>
            <w:r w:rsidR="00814B50">
              <w:rPr>
                <w:rFonts w:eastAsia="仿宋_GB2312" w:hint="eastAsia"/>
                <w:sz w:val="32"/>
              </w:rPr>
              <w:t>5</w:t>
            </w:r>
            <w:r w:rsidR="00814B50">
              <w:rPr>
                <w:rFonts w:eastAsia="仿宋_GB2312"/>
                <w:sz w:val="32"/>
              </w:rPr>
              <w:t>年</w:t>
            </w:r>
            <w:r>
              <w:rPr>
                <w:rFonts w:eastAsia="仿宋_GB2312" w:hint="eastAsia"/>
                <w:sz w:val="32"/>
              </w:rPr>
              <w:t>4</w:t>
            </w:r>
            <w:r w:rsidR="00814B50">
              <w:rPr>
                <w:rFonts w:eastAsia="仿宋_GB2312"/>
                <w:sz w:val="32"/>
              </w:rPr>
              <w:t>月</w:t>
            </w:r>
            <w:r w:rsidR="00814B50">
              <w:rPr>
                <w:rFonts w:eastAsia="仿宋_GB2312" w:hint="eastAsia"/>
                <w:sz w:val="32"/>
              </w:rPr>
              <w:t>2</w:t>
            </w:r>
            <w:r w:rsidR="00814B50">
              <w:rPr>
                <w:rFonts w:eastAsia="仿宋_GB2312"/>
                <w:sz w:val="32"/>
              </w:rPr>
              <w:t>日</w:t>
            </w:r>
            <w:bookmarkEnd w:id="3"/>
          </w:p>
          <w:p w:rsidR="006A1DFF" w:rsidRDefault="006A1DFF">
            <w:pPr>
              <w:spacing w:line="480" w:lineRule="exact"/>
              <w:ind w:rightChars="50" w:right="105"/>
              <w:jc w:val="right"/>
              <w:rPr>
                <w:rFonts w:eastAsia="仿宋_GB2312"/>
                <w:sz w:val="32"/>
              </w:rPr>
            </w:pPr>
          </w:p>
        </w:tc>
      </w:tr>
      <w:tr w:rsidR="006A1DFF">
        <w:trPr>
          <w:trHeight w:val="244"/>
        </w:trPr>
        <w:tc>
          <w:tcPr>
            <w:tcW w:w="5000" w:type="pct"/>
            <w:gridSpan w:val="6"/>
            <w:tcBorders>
              <w:tl2br w:val="nil"/>
              <w:tr2bl w:val="nil"/>
            </w:tcBorders>
            <w:vAlign w:val="bottom"/>
          </w:tcPr>
          <w:p w:rsidR="006A1DFF" w:rsidRDefault="00814B50">
            <w:pPr>
              <w:spacing w:line="480" w:lineRule="exact"/>
              <w:ind w:rightChars="50" w:right="105"/>
              <w:rPr>
                <w:rFonts w:eastAsia="仿宋_GB2312"/>
                <w:sz w:val="32"/>
              </w:rPr>
            </w:pPr>
            <w:r>
              <w:rPr>
                <w:rFonts w:eastAsia="仿宋_GB2312"/>
                <w:sz w:val="32"/>
                <w:szCs w:val="18"/>
              </w:rPr>
              <w:t xml:space="preserve"> </w:t>
            </w:r>
            <w:bookmarkStart w:id="5" w:name="fyr"/>
            <w:bookmarkEnd w:id="5"/>
          </w:p>
        </w:tc>
      </w:tr>
      <w:tr w:rsidR="006A1DFF">
        <w:trPr>
          <w:trHeight w:val="606"/>
        </w:trPr>
        <w:tc>
          <w:tcPr>
            <w:tcW w:w="950" w:type="pct"/>
            <w:tcBorders>
              <w:tl2br w:val="nil"/>
              <w:tr2bl w:val="nil"/>
            </w:tcBorders>
          </w:tcPr>
          <w:p w:rsidR="006A1DFF" w:rsidRDefault="00814B50">
            <w:pPr>
              <w:spacing w:line="480" w:lineRule="exact"/>
              <w:ind w:rightChars="50" w:right="105"/>
              <w:rPr>
                <w:rFonts w:eastAsia="仿宋_GB2312"/>
                <w:sz w:val="32"/>
              </w:rPr>
            </w:pPr>
            <w:r>
              <w:rPr>
                <w:rFonts w:eastAsia="仿宋_GB2312"/>
                <w:sz w:val="32"/>
              </w:rPr>
              <w:t>工作人员：</w:t>
            </w:r>
          </w:p>
        </w:tc>
        <w:tc>
          <w:tcPr>
            <w:tcW w:w="1476" w:type="pct"/>
            <w:tcBorders>
              <w:tl2br w:val="nil"/>
              <w:tr2bl w:val="nil"/>
            </w:tcBorders>
          </w:tcPr>
          <w:p w:rsidR="006A1DFF" w:rsidRDefault="00814B50">
            <w:pPr>
              <w:spacing w:line="480" w:lineRule="exact"/>
              <w:ind w:rightChars="50" w:right="105"/>
              <w:rPr>
                <w:rFonts w:eastAsia="仿宋_GB2312"/>
                <w:sz w:val="32"/>
              </w:rPr>
            </w:pPr>
            <w:r>
              <w:rPr>
                <w:rFonts w:eastAsia="仿宋_GB2312"/>
                <w:sz w:val="32"/>
              </w:rPr>
              <w:t>赵岩</w:t>
            </w:r>
          </w:p>
        </w:tc>
        <w:tc>
          <w:tcPr>
            <w:tcW w:w="977" w:type="pct"/>
            <w:gridSpan w:val="2"/>
            <w:tcBorders>
              <w:tl2br w:val="nil"/>
              <w:tr2bl w:val="nil"/>
            </w:tcBorders>
          </w:tcPr>
          <w:p w:rsidR="006A1DFF" w:rsidRDefault="00814B50">
            <w:pPr>
              <w:spacing w:line="480" w:lineRule="exact"/>
              <w:ind w:rightChars="50" w:right="105"/>
              <w:rPr>
                <w:rFonts w:eastAsia="仿宋_GB2312"/>
                <w:sz w:val="32"/>
              </w:rPr>
            </w:pPr>
            <w:r>
              <w:rPr>
                <w:rFonts w:eastAsia="仿宋_GB2312"/>
                <w:sz w:val="32"/>
              </w:rPr>
              <w:t>联系电话：</w:t>
            </w:r>
          </w:p>
        </w:tc>
        <w:tc>
          <w:tcPr>
            <w:tcW w:w="1595" w:type="pct"/>
            <w:gridSpan w:val="2"/>
            <w:tcBorders>
              <w:tl2br w:val="nil"/>
              <w:tr2bl w:val="nil"/>
            </w:tcBorders>
          </w:tcPr>
          <w:p w:rsidR="006A1DFF" w:rsidRDefault="00814B50">
            <w:pPr>
              <w:spacing w:line="480" w:lineRule="exact"/>
              <w:ind w:rightChars="50" w:right="105"/>
              <w:rPr>
                <w:rFonts w:eastAsia="仿宋_GB2312"/>
                <w:sz w:val="32"/>
              </w:rPr>
            </w:pPr>
            <w:r>
              <w:rPr>
                <w:rFonts w:eastAsia="仿宋_GB2312" w:hint="eastAsia"/>
                <w:sz w:val="32"/>
              </w:rPr>
              <w:t>63085</w:t>
            </w:r>
            <w:r>
              <w:rPr>
                <w:rFonts w:eastAsia="仿宋_GB2312"/>
                <w:sz w:val="32"/>
              </w:rPr>
              <w:t>813</w:t>
            </w:r>
          </w:p>
        </w:tc>
      </w:tr>
    </w:tbl>
    <w:p w:rsidR="006A1DFF" w:rsidRDefault="006A1DFF">
      <w:pPr>
        <w:spacing w:line="20" w:lineRule="exact"/>
        <w:ind w:rightChars="548" w:right="1151"/>
      </w:pPr>
    </w:p>
    <w:p w:rsidR="006A1DFF" w:rsidRDefault="006A1DFF" w:rsidP="00D62E2B">
      <w:pPr>
        <w:rPr>
          <w:rFonts w:hint="eastAsia"/>
        </w:rPr>
      </w:pPr>
    </w:p>
    <w:sectPr w:rsidR="006A1DFF">
      <w:headerReference w:type="even" r:id="rId8"/>
      <w:headerReference w:type="default" r:id="rId9"/>
      <w:footerReference w:type="even" r:id="rId10"/>
      <w:footerReference w:type="default" r:id="rId11"/>
      <w:headerReference w:type="first" r:id="rId12"/>
      <w:footerReference w:type="first" r:id="rId13"/>
      <w:pgSz w:w="11906" w:h="16838"/>
      <w:pgMar w:top="2098" w:right="1361" w:bottom="1985" w:left="1474"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14B50" w:rsidRDefault="00814B50">
      <w:r>
        <w:separator/>
      </w:r>
    </w:p>
  </w:endnote>
  <w:endnote w:type="continuationSeparator" w:id="0">
    <w:p w:rsidR="00814B50" w:rsidRDefault="00814B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仿宋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黑体">
    <w:altName w:val="SimHei"/>
    <w:panose1 w:val="02010609060101010101"/>
    <w:charset w:val="86"/>
    <w:family w:val="modern"/>
    <w:notTrueType/>
    <w:pitch w:val="fixed"/>
    <w:sig w:usb0="00000001" w:usb1="080E0000" w:usb2="00000010" w:usb3="00000000" w:csb0="00040000" w:csb1="00000000"/>
  </w:font>
  <w:font w:name="Helvetica">
    <w:panose1 w:val="020B0604020202020204"/>
    <w:charset w:val="00"/>
    <w:family w:val="swiss"/>
    <w:pitch w:val="variable"/>
    <w:sig w:usb0="E0002AFF" w:usb1="C0007843" w:usb2="00000009" w:usb3="00000000" w:csb0="000001FF" w:csb1="00000000"/>
  </w:font>
  <w:font w:name="华文中宋">
    <w:altName w:val="汉仪中宋简"/>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1DFF" w:rsidRDefault="00814B50">
    <w:pPr>
      <w:pStyle w:val="a5"/>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rsidR="006A1DFF" w:rsidRDefault="006A1DFF">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1DFF" w:rsidRDefault="00814B50">
    <w:pPr>
      <w:pStyle w:val="a5"/>
      <w:framePr w:wrap="around" w:vAnchor="text" w:hAnchor="margin" w:xAlign="center" w:y="1"/>
      <w:rPr>
        <w:rStyle w:val="aa"/>
      </w:rPr>
    </w:pPr>
    <w:r>
      <w:rPr>
        <w:rStyle w:val="aa"/>
      </w:rPr>
      <w:fldChar w:fldCharType="begin"/>
    </w:r>
    <w:r>
      <w:rPr>
        <w:rStyle w:val="aa"/>
      </w:rPr>
      <w:instrText xml:space="preserve">PAGE  </w:instrText>
    </w:r>
    <w:r>
      <w:rPr>
        <w:rStyle w:val="aa"/>
      </w:rPr>
      <w:fldChar w:fldCharType="separate"/>
    </w:r>
    <w:r w:rsidR="00D62E2B">
      <w:rPr>
        <w:rStyle w:val="aa"/>
        <w:noProof/>
      </w:rPr>
      <w:t>1</w:t>
    </w:r>
    <w:r>
      <w:rPr>
        <w:rStyle w:val="aa"/>
      </w:rPr>
      <w:fldChar w:fldCharType="end"/>
    </w:r>
  </w:p>
  <w:p w:rsidR="006A1DFF" w:rsidRDefault="006A1DFF">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1DFF" w:rsidRDefault="006A1DFF">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14B50" w:rsidRDefault="00814B50">
      <w:r>
        <w:separator/>
      </w:r>
    </w:p>
  </w:footnote>
  <w:footnote w:type="continuationSeparator" w:id="0">
    <w:p w:rsidR="00814B50" w:rsidRDefault="00814B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1DFF" w:rsidRDefault="006A1DFF">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1DFF" w:rsidRDefault="006A1DFF">
    <w:pPr>
      <w:pStyle w:val="a8"/>
      <w:pBdr>
        <w:bottom w:val="none" w:sz="0" w:space="0" w:color="auto"/>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1DFF" w:rsidRDefault="006A1DFF">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AC2A859F"/>
    <w:multiLevelType w:val="multilevel"/>
    <w:tmpl w:val="AC2A859F"/>
    <w:lvl w:ilvl="0">
      <w:start w:val="1"/>
      <w:numFmt w:val="chineseCounting"/>
      <w:pStyle w:val="-"/>
      <w:suff w:val="nothing"/>
      <w:lvlText w:val="（%1）"/>
      <w:lvlJc w:val="left"/>
      <w:pPr>
        <w:tabs>
          <w:tab w:val="left" w:pos="0"/>
        </w:tabs>
        <w:ind w:left="0" w:firstLine="400"/>
      </w:pPr>
      <w:rPr>
        <w:rFonts w:ascii="仿宋_GB2312" w:eastAsia="仿宋_GB2312" w:hAnsi="仿宋_GB2312" w:cs="宋体" w:hint="eastAsia"/>
        <w:sz w:val="32"/>
      </w:rPr>
    </w:lvl>
    <w:lvl w:ilvl="1">
      <w:start w:val="1"/>
      <w:numFmt w:val="decimal"/>
      <w:suff w:val="nothing"/>
      <w:lvlText w:val="%2．"/>
      <w:lvlJc w:val="left"/>
      <w:pPr>
        <w:ind w:left="0" w:firstLine="400"/>
      </w:pPr>
      <w:rPr>
        <w:rFonts w:hint="eastAsia"/>
      </w:rPr>
    </w:lvl>
    <w:lvl w:ilvl="2">
      <w:start w:val="1"/>
      <w:numFmt w:val="decimal"/>
      <w:suff w:val="nothing"/>
      <w:lvlText w:val="（%3）"/>
      <w:lvlJc w:val="left"/>
      <w:pPr>
        <w:ind w:left="0" w:firstLine="402"/>
      </w:pPr>
      <w:rPr>
        <w:rFonts w:hint="eastAsia"/>
      </w:rPr>
    </w:lvl>
    <w:lvl w:ilvl="3">
      <w:start w:val="1"/>
      <w:numFmt w:val="decimalEnclosedCircleChinese"/>
      <w:suff w:val="nothing"/>
      <w:lvlText w:val="%4 "/>
      <w:lvlJc w:val="left"/>
      <w:pPr>
        <w:ind w:left="0" w:firstLine="402"/>
      </w:pPr>
      <w:rPr>
        <w:rFonts w:hint="eastAsia"/>
      </w:rPr>
    </w:lvl>
    <w:lvl w:ilvl="4">
      <w:start w:val="1"/>
      <w:numFmt w:val="decimal"/>
      <w:suff w:val="nothing"/>
      <w:lvlText w:val="%5）"/>
      <w:lvlJc w:val="left"/>
      <w:pPr>
        <w:ind w:left="0" w:firstLine="402"/>
      </w:pPr>
      <w:rPr>
        <w:rFonts w:hint="eastAsia"/>
      </w:rPr>
    </w:lvl>
    <w:lvl w:ilvl="5">
      <w:start w:val="1"/>
      <w:numFmt w:val="lowerLetter"/>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Roman"/>
      <w:suff w:val="nothing"/>
      <w:lvlText w:val="%8. "/>
      <w:lvlJc w:val="left"/>
      <w:pPr>
        <w:ind w:left="0" w:firstLine="402"/>
      </w:pPr>
      <w:rPr>
        <w:rFonts w:hint="eastAsia"/>
      </w:rPr>
    </w:lvl>
    <w:lvl w:ilvl="8">
      <w:start w:val="1"/>
      <w:numFmt w:val="lowerRoman"/>
      <w:suff w:val="nothing"/>
      <w:lvlText w:val="%9）"/>
      <w:lvlJc w:val="left"/>
      <w:pPr>
        <w:ind w:left="0" w:firstLine="402"/>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ocumentProtection w:edit="readOnly" w:enforcement="0"/>
  <w:defaultTabStop w:val="42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8FFE7609"/>
    <w:rsid w:val="9BDA16FE"/>
    <w:rsid w:val="BCFF875B"/>
    <w:rsid w:val="BFF7AB0B"/>
    <w:rsid w:val="D66F87D6"/>
    <w:rsid w:val="DA3ECA11"/>
    <w:rsid w:val="DB9DFB37"/>
    <w:rsid w:val="E6DB938D"/>
    <w:rsid w:val="F5F933B4"/>
    <w:rsid w:val="FEDD1481"/>
    <w:rsid w:val="FFFB0D1C"/>
    <w:rsid w:val="0008725F"/>
    <w:rsid w:val="00116DAE"/>
    <w:rsid w:val="00151656"/>
    <w:rsid w:val="00160D66"/>
    <w:rsid w:val="00172A27"/>
    <w:rsid w:val="0018011C"/>
    <w:rsid w:val="00181F02"/>
    <w:rsid w:val="001A7225"/>
    <w:rsid w:val="001F61E3"/>
    <w:rsid w:val="002371A3"/>
    <w:rsid w:val="00261F6E"/>
    <w:rsid w:val="00272F04"/>
    <w:rsid w:val="00272F5E"/>
    <w:rsid w:val="00296F01"/>
    <w:rsid w:val="002B29B1"/>
    <w:rsid w:val="002C1912"/>
    <w:rsid w:val="002F0464"/>
    <w:rsid w:val="002F2BA0"/>
    <w:rsid w:val="00307EB1"/>
    <w:rsid w:val="003308ED"/>
    <w:rsid w:val="00354A16"/>
    <w:rsid w:val="00372068"/>
    <w:rsid w:val="00375D6E"/>
    <w:rsid w:val="00382172"/>
    <w:rsid w:val="004277E8"/>
    <w:rsid w:val="00460BAF"/>
    <w:rsid w:val="004C2F93"/>
    <w:rsid w:val="0052525D"/>
    <w:rsid w:val="00575302"/>
    <w:rsid w:val="0059759C"/>
    <w:rsid w:val="005B7C6A"/>
    <w:rsid w:val="005D25F2"/>
    <w:rsid w:val="005E0C68"/>
    <w:rsid w:val="005E7285"/>
    <w:rsid w:val="005F2062"/>
    <w:rsid w:val="005F5E66"/>
    <w:rsid w:val="00663555"/>
    <w:rsid w:val="006A1DFF"/>
    <w:rsid w:val="007616B6"/>
    <w:rsid w:val="007746FD"/>
    <w:rsid w:val="007B2223"/>
    <w:rsid w:val="007D7D3A"/>
    <w:rsid w:val="007E1B8B"/>
    <w:rsid w:val="00814B50"/>
    <w:rsid w:val="008155F9"/>
    <w:rsid w:val="00821E10"/>
    <w:rsid w:val="008222BF"/>
    <w:rsid w:val="00843262"/>
    <w:rsid w:val="00883F64"/>
    <w:rsid w:val="00895F09"/>
    <w:rsid w:val="00917F65"/>
    <w:rsid w:val="00930E75"/>
    <w:rsid w:val="00953B90"/>
    <w:rsid w:val="00982E66"/>
    <w:rsid w:val="009A0C11"/>
    <w:rsid w:val="009A5A86"/>
    <w:rsid w:val="009F568A"/>
    <w:rsid w:val="00A01DE8"/>
    <w:rsid w:val="00A03B4F"/>
    <w:rsid w:val="00AE0062"/>
    <w:rsid w:val="00B21A65"/>
    <w:rsid w:val="00B32F4D"/>
    <w:rsid w:val="00B67BF0"/>
    <w:rsid w:val="00B96B7B"/>
    <w:rsid w:val="00C16116"/>
    <w:rsid w:val="00C40842"/>
    <w:rsid w:val="00C559AE"/>
    <w:rsid w:val="00CC5ACA"/>
    <w:rsid w:val="00CD3DDD"/>
    <w:rsid w:val="00CD5AEB"/>
    <w:rsid w:val="00D07119"/>
    <w:rsid w:val="00D47E88"/>
    <w:rsid w:val="00D62E2B"/>
    <w:rsid w:val="00DC2D37"/>
    <w:rsid w:val="00E00CB1"/>
    <w:rsid w:val="00E20115"/>
    <w:rsid w:val="00E81C98"/>
    <w:rsid w:val="00E87832"/>
    <w:rsid w:val="00F20A91"/>
    <w:rsid w:val="00F34F3B"/>
    <w:rsid w:val="00F80197"/>
    <w:rsid w:val="02950A43"/>
    <w:rsid w:val="05FB352C"/>
    <w:rsid w:val="062C73BA"/>
    <w:rsid w:val="0F415A30"/>
    <w:rsid w:val="1A1A2EA1"/>
    <w:rsid w:val="1BE3569F"/>
    <w:rsid w:val="20FE4F37"/>
    <w:rsid w:val="22666FCA"/>
    <w:rsid w:val="23957D52"/>
    <w:rsid w:val="265833FB"/>
    <w:rsid w:val="2A106D0B"/>
    <w:rsid w:val="2DCA2874"/>
    <w:rsid w:val="377A2E5E"/>
    <w:rsid w:val="385C0DBD"/>
    <w:rsid w:val="3A57702C"/>
    <w:rsid w:val="3F3CE55B"/>
    <w:rsid w:val="3FEB9C9A"/>
    <w:rsid w:val="447E3320"/>
    <w:rsid w:val="45CB5298"/>
    <w:rsid w:val="47FD9FCF"/>
    <w:rsid w:val="4B30475B"/>
    <w:rsid w:val="4CA33CB0"/>
    <w:rsid w:val="4D14258D"/>
    <w:rsid w:val="55BFA956"/>
    <w:rsid w:val="57073EC0"/>
    <w:rsid w:val="59C6063C"/>
    <w:rsid w:val="63E612D4"/>
    <w:rsid w:val="66F79180"/>
    <w:rsid w:val="693053CC"/>
    <w:rsid w:val="6AB50BAB"/>
    <w:rsid w:val="6BBECCB9"/>
    <w:rsid w:val="6CA056C1"/>
    <w:rsid w:val="6D957ABF"/>
    <w:rsid w:val="7312333B"/>
    <w:rsid w:val="75561D3A"/>
    <w:rsid w:val="7952225A"/>
    <w:rsid w:val="7D174045"/>
    <w:rsid w:val="7D906DB7"/>
    <w:rsid w:val="7E674295"/>
    <w:rsid w:val="7EF51F4A"/>
    <w:rsid w:val="7FFD21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5:docId w15:val="{0F4F00FF-BEB1-4C94-881D-A19DA3E2CF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uiPriority="0" w:qFormat="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qFormat="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qFormat="1"/>
    <w:lsdException w:name="Body Text" w:semiHidden="1"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qFormat="1"/>
    <w:lsdException w:name="Body Text First Indent" w:uiPriority="0"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qFormat="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jc w:val="both"/>
    </w:pPr>
    <w:rPr>
      <w:kern w:val="2"/>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First Indent"/>
    <w:basedOn w:val="a4"/>
    <w:qFormat/>
    <w:pPr>
      <w:ind w:firstLineChars="100" w:firstLine="420"/>
    </w:pPr>
    <w:rPr>
      <w:rFonts w:ascii="Calibri" w:hAnsi="Calibri"/>
    </w:rPr>
  </w:style>
  <w:style w:type="paragraph" w:styleId="a4">
    <w:name w:val="Body Text"/>
    <w:basedOn w:val="a"/>
    <w:next w:val="a5"/>
    <w:semiHidden/>
    <w:qFormat/>
    <w:pPr>
      <w:jc w:val="center"/>
    </w:pPr>
    <w:rPr>
      <w:rFonts w:ascii="宋体"/>
      <w:b/>
      <w:bCs/>
      <w:sz w:val="44"/>
    </w:rPr>
  </w:style>
  <w:style w:type="paragraph" w:styleId="a5">
    <w:name w:val="footer"/>
    <w:basedOn w:val="a"/>
    <w:next w:val="5"/>
    <w:link w:val="Char"/>
    <w:uiPriority w:val="99"/>
    <w:semiHidden/>
    <w:unhideWhenUsed/>
    <w:qFormat/>
    <w:pPr>
      <w:tabs>
        <w:tab w:val="center" w:pos="4153"/>
        <w:tab w:val="right" w:pos="8306"/>
      </w:tabs>
      <w:snapToGrid w:val="0"/>
      <w:jc w:val="left"/>
    </w:pPr>
    <w:rPr>
      <w:sz w:val="18"/>
      <w:szCs w:val="18"/>
    </w:rPr>
  </w:style>
  <w:style w:type="paragraph" w:styleId="5">
    <w:name w:val="index 5"/>
    <w:basedOn w:val="a"/>
    <w:next w:val="a"/>
    <w:qFormat/>
    <w:pPr>
      <w:ind w:left="1680"/>
    </w:pPr>
  </w:style>
  <w:style w:type="paragraph" w:styleId="a6">
    <w:name w:val="Normal Indent"/>
    <w:basedOn w:val="a"/>
    <w:uiPriority w:val="99"/>
    <w:qFormat/>
    <w:pPr>
      <w:ind w:firstLineChars="200" w:firstLine="420"/>
    </w:pPr>
  </w:style>
  <w:style w:type="paragraph" w:styleId="a7">
    <w:name w:val="Date"/>
    <w:basedOn w:val="a"/>
    <w:next w:val="a"/>
    <w:semiHidden/>
    <w:qFormat/>
    <w:pPr>
      <w:ind w:leftChars="2500" w:left="100"/>
    </w:pPr>
    <w:rPr>
      <w:rFonts w:ascii="仿宋_GB2312" w:eastAsia="仿宋_GB2312"/>
      <w:sz w:val="32"/>
    </w:rPr>
  </w:style>
  <w:style w:type="paragraph" w:styleId="2">
    <w:name w:val="Body Text Indent 2"/>
    <w:basedOn w:val="a"/>
    <w:semiHidden/>
    <w:qFormat/>
    <w:pPr>
      <w:ind w:firstLineChars="200" w:firstLine="644"/>
    </w:pPr>
    <w:rPr>
      <w:rFonts w:eastAsia="黑体"/>
      <w:sz w:val="32"/>
    </w:rPr>
  </w:style>
  <w:style w:type="paragraph" w:styleId="a8">
    <w:name w:val="header"/>
    <w:basedOn w:val="a"/>
    <w:link w:val="Char0"/>
    <w:uiPriority w:val="99"/>
    <w:semiHidden/>
    <w:unhideWhenUsed/>
    <w:qFormat/>
    <w:pPr>
      <w:pBdr>
        <w:bottom w:val="single" w:sz="6" w:space="1" w:color="auto"/>
      </w:pBdr>
      <w:tabs>
        <w:tab w:val="center" w:pos="4153"/>
        <w:tab w:val="right" w:pos="8306"/>
      </w:tabs>
      <w:snapToGrid w:val="0"/>
      <w:jc w:val="center"/>
    </w:pPr>
    <w:rPr>
      <w:sz w:val="18"/>
      <w:szCs w:val="18"/>
    </w:rPr>
  </w:style>
  <w:style w:type="table" w:styleId="a9">
    <w:name w:val="Table Grid"/>
    <w:basedOn w:val="a2"/>
    <w:uiPriority w:val="59"/>
    <w:qFormat/>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a">
    <w:name w:val="page number"/>
    <w:basedOn w:val="a1"/>
    <w:qFormat/>
  </w:style>
  <w:style w:type="paragraph" w:customStyle="1" w:styleId="ab">
    <w:name w:val="默认"/>
    <w:qFormat/>
    <w:rPr>
      <w:rFonts w:ascii="Helvetica" w:eastAsia="Helvetica" w:hAnsi="Helvetica" w:cs="Helvetica"/>
      <w:color w:val="000000"/>
      <w:sz w:val="22"/>
      <w:szCs w:val="22"/>
    </w:rPr>
  </w:style>
  <w:style w:type="character" w:customStyle="1" w:styleId="Char0">
    <w:name w:val="页眉 Char"/>
    <w:basedOn w:val="a1"/>
    <w:link w:val="a8"/>
    <w:uiPriority w:val="99"/>
    <w:semiHidden/>
    <w:qFormat/>
    <w:rPr>
      <w:kern w:val="2"/>
      <w:sz w:val="18"/>
      <w:szCs w:val="18"/>
    </w:rPr>
  </w:style>
  <w:style w:type="character" w:customStyle="1" w:styleId="Char">
    <w:name w:val="页脚 Char"/>
    <w:basedOn w:val="a1"/>
    <w:link w:val="a5"/>
    <w:uiPriority w:val="99"/>
    <w:semiHidden/>
    <w:qFormat/>
    <w:rPr>
      <w:kern w:val="2"/>
      <w:sz w:val="18"/>
      <w:szCs w:val="18"/>
    </w:rPr>
  </w:style>
  <w:style w:type="paragraph" w:customStyle="1" w:styleId="-">
    <w:name w:val="公文-三级内容（一）"/>
    <w:basedOn w:val="a"/>
    <w:qFormat/>
    <w:pPr>
      <w:numPr>
        <w:numId w:val="1"/>
      </w:numPr>
      <w:spacing w:line="579" w:lineRule="exact"/>
    </w:pPr>
    <w:rPr>
      <w:rFonts w:ascii="仿宋_GB2312" w:eastAsia="仿宋_GB2312" w:hAnsi="仿宋_GB2312" w:cs="仿宋_GB2312" w:hint="eastAsia"/>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fbbf2bac-2777-48b9-8fe3-c7d0d6fb2e8a}"/>
        <w:category>
          <w:name w:val="常规"/>
          <w:gallery w:val="placeholder"/>
        </w:category>
        <w:types>
          <w:type w:val="bbPlcHdr"/>
        </w:types>
        <w:behaviors>
          <w:behavior w:val="content"/>
        </w:behaviors>
        <w:guid w:val="{FBBF2BAC-2777-48B9-8FE3-C7D0D6FB2E8A}"/>
      </w:docPartPr>
      <w:docPartBody>
        <w:p w:rsidR="00294360" w:rsidRDefault="00A534C3">
          <w:r>
            <w:rPr>
              <w:color w:val="808080"/>
            </w:rPr>
            <w:t>选择一项。</w:t>
          </w:r>
        </w:p>
      </w:docPartBody>
    </w:docPart>
    <w:docPart>
      <w:docPartPr>
        <w:name w:val="{5664cb10-74fb-4547-88a8-b8c5d4df73ec}"/>
        <w:category>
          <w:name w:val="常规"/>
          <w:gallery w:val="placeholder"/>
        </w:category>
        <w:types>
          <w:type w:val="bbPlcHdr"/>
        </w:types>
        <w:behaviors>
          <w:behavior w:val="content"/>
        </w:behaviors>
        <w:guid w:val="{5664CB10-74FB-4547-88A8-B8C5D4DF73EC}"/>
      </w:docPartPr>
      <w:docPartBody>
        <w:p w:rsidR="00294360" w:rsidRDefault="00A534C3">
          <w:r>
            <w:rPr>
              <w:color w:val="808080"/>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仿宋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黑体">
    <w:altName w:val="SimHei"/>
    <w:panose1 w:val="02010609060101010101"/>
    <w:charset w:val="86"/>
    <w:family w:val="modern"/>
    <w:notTrueType/>
    <w:pitch w:val="fixed"/>
    <w:sig w:usb0="00000001" w:usb1="080E0000" w:usb2="00000010" w:usb3="00000000" w:csb0="00040000" w:csb1="00000000"/>
  </w:font>
  <w:font w:name="Helvetica">
    <w:panose1 w:val="020B0604020202020204"/>
    <w:charset w:val="00"/>
    <w:family w:val="swiss"/>
    <w:pitch w:val="variable"/>
    <w:sig w:usb0="E0002AFF" w:usb1="C0007843" w:usb2="00000009" w:usb3="00000000" w:csb0="000001FF" w:csb1="00000000"/>
  </w:font>
  <w:font w:name="华文中宋">
    <w:altName w:val="汉仪中宋简"/>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bordersDoNotSurroundHeader/>
  <w:bordersDoNotSurroundFooter/>
  <w:defaultTabStop w:val="420"/>
  <w:characterSpacingControl w:val="doNotCompress"/>
  <w:compat>
    <w:useFELayout/>
    <w:splitPgBreakAndParaMark/>
    <w:compatSetting w:name="compatibilityMode" w:uri="http://schemas.microsoft.com/office/word" w:val="14"/>
  </w:compat>
  <w:rsids>
    <w:rsidRoot w:val="00294360"/>
    <w:rsid w:val="00294360"/>
    <w:rsid w:val="00A534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160</Words>
  <Characters>915</Characters>
  <Application>Microsoft Office Word</Application>
  <DocSecurity>0</DocSecurity>
  <Lines>7</Lines>
  <Paragraphs>2</Paragraphs>
  <ScaleCrop>false</ScaleCrop>
  <Company>spice</Company>
  <LinksUpToDate>false</LinksUpToDate>
  <CharactersWithSpaces>1073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各区县委办局办公室：</dc:title>
  <dc:creator>wjc</dc:creator>
  <cp:lastModifiedBy>Windows User</cp:lastModifiedBy>
  <cp:revision>3</cp:revision>
  <dcterms:created xsi:type="dcterms:W3CDTF">2021-04-09T11:49:00Z</dcterms:created>
  <dcterms:modified xsi:type="dcterms:W3CDTF">2025-03-31T08:20:00Z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ies>
</file>