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3CB9" w:rsidRDefault="00C91721">
      <w:pPr>
        <w:jc w:val="center"/>
        <w:rPr>
          <w:rFonts w:ascii="华文中宋" w:eastAsia="华文中宋" w:hAnsi="华文中宋"/>
          <w:b/>
          <w:bCs/>
          <w:color w:val="FF0000"/>
          <w:sz w:val="84"/>
        </w:rPr>
      </w:pPr>
      <w:bookmarkStart w:id="0" w:name="dw"/>
      <w:r>
        <w:rPr>
          <w:rFonts w:ascii="华文中宋" w:eastAsia="华文中宋" w:hAnsi="华文中宋" w:hint="eastAsia"/>
          <w:b/>
          <w:bCs/>
          <w:color w:val="FF0000"/>
          <w:sz w:val="84"/>
        </w:rPr>
        <w:t>天津市人民政府港澳</w:t>
      </w:r>
    </w:p>
    <w:p w:rsidR="00313CB9" w:rsidRDefault="00C91721">
      <w:pPr>
        <w:jc w:val="center"/>
        <w:rPr>
          <w:rFonts w:ascii="华文中宋" w:eastAsia="华文中宋" w:hAnsi="华文中宋"/>
          <w:b/>
          <w:bCs/>
          <w:color w:val="FF0000"/>
          <w:sz w:val="84"/>
        </w:rPr>
      </w:pPr>
      <w:r>
        <w:rPr>
          <w:rFonts w:ascii="华文中宋" w:eastAsia="华文中宋" w:hAnsi="华文中宋" w:hint="eastAsia"/>
          <w:b/>
          <w:bCs/>
          <w:color w:val="FF0000"/>
          <w:sz w:val="84"/>
        </w:rPr>
        <w:t>工作办公室</w:t>
      </w:r>
      <w:bookmarkEnd w:id="0"/>
    </w:p>
    <w:p w:rsidR="00313CB9" w:rsidRDefault="00313CB9">
      <w:pPr>
        <w:spacing w:line="360" w:lineRule="exact"/>
        <w:rPr>
          <w:rFonts w:ascii="仿宋_GB2312" w:eastAsia="仿宋_GB2312" w:hAnsi="宋体"/>
          <w:sz w:val="30"/>
        </w:rPr>
      </w:pPr>
    </w:p>
    <w:p w:rsidR="00313CB9" w:rsidRDefault="00313CB9">
      <w:pPr>
        <w:rPr>
          <w:rFonts w:ascii="仿宋_GB2312" w:eastAsia="仿宋_GB2312" w:hAnsi="宋体"/>
          <w:sz w:val="13"/>
          <w:szCs w:val="13"/>
        </w:rPr>
      </w:pPr>
    </w:p>
    <w:p w:rsidR="00313CB9" w:rsidRDefault="00C91721">
      <w:pPr>
        <w:rPr>
          <w:rFonts w:ascii="仿宋_GB2312" w:eastAsia="仿宋_GB2312" w:hAnsi="宋体"/>
          <w:sz w:val="13"/>
          <w:szCs w:val="13"/>
        </w:rPr>
      </w:pPr>
      <w:r>
        <w:rPr>
          <w:rFonts w:ascii="仿宋_GB2312" w:eastAsia="仿宋_GB2312" w:hAnsi="宋体"/>
          <w:noProof/>
          <w:sz w:val="13"/>
          <w:szCs w:val="13"/>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600700" cy="0"/>
                <wp:effectExtent l="0" t="0" r="0" b="0"/>
                <wp:wrapSquare wrapText="bothSides"/>
                <wp:docPr id="1" name="直线 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FF0000"/>
                          </a:solidFill>
                          <a:prstDash val="solid"/>
                          <a:headEnd type="none" w="med" len="med"/>
                          <a:tailEnd type="none" w="med" len="med"/>
                        </a:ln>
                      </wps:spPr>
                      <wps:bodyPr/>
                    </wps:wsp>
                  </a:graphicData>
                </a:graphic>
              </wp:anchor>
            </w:drawing>
          </mc:Choice>
          <mc:Fallback>
            <w:pict>
              <v:line w14:anchorId="738DAC8A" id="直线 2"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" strokecolor="red">
                <w10:wrap type="square"/>
              </v:line>
            </w:pict>
          </mc:Fallback>
        </mc:AlternateContent>
      </w:r>
    </w:p>
    <w:tbl>
      <w:tblPr>
        <w:tblW w:w="9356" w:type="dxa"/>
        <w:tblInd w:w="-34" w:type="dxa"/>
        <w:tblLook w:val="04A0" w:firstRow="1" w:lastRow="0" w:firstColumn="1" w:lastColumn="0" w:noHBand="0" w:noVBand="1"/>
      </w:tblPr>
      <w:tblGrid>
        <w:gridCol w:w="1778"/>
        <w:gridCol w:w="2762"/>
        <w:gridCol w:w="1272"/>
        <w:gridCol w:w="556"/>
        <w:gridCol w:w="1246"/>
        <w:gridCol w:w="1742"/>
      </w:tblGrid>
      <w:tr w:rsidR="00313CB9">
        <w:tc>
          <w:tcPr>
            <w:tcW w:w="5000" w:type="pct"/>
            <w:gridSpan w:val="6"/>
            <w:tcBorders>
              <w:tl2br w:val="nil"/>
              <w:tr2bl w:val="nil"/>
            </w:tcBorders>
            <w:vAlign w:val="center"/>
          </w:tcPr>
          <w:p w:rsidR="00313CB9" w:rsidRDefault="00C91721">
            <w:pPr>
              <w:jc w:val="center"/>
              <w:rPr>
                <w:b/>
                <w:bCs/>
                <w:sz w:val="44"/>
              </w:rPr>
            </w:pPr>
            <w:bookmarkStart w:id="1" w:name="bt"/>
            <w:r>
              <w:rPr>
                <w:b/>
                <w:bCs/>
                <w:sz w:val="44"/>
              </w:rPr>
              <w:t>对市政协第十五届三次会议</w:t>
            </w:r>
            <w:r>
              <w:rPr>
                <w:b/>
                <w:bCs/>
                <w:sz w:val="44"/>
              </w:rPr>
              <w:br/>
            </w:r>
            <w:r>
              <w:rPr>
                <w:b/>
                <w:bCs/>
                <w:sz w:val="44"/>
              </w:rPr>
              <w:t>第</w:t>
            </w:r>
            <w:r>
              <w:rPr>
                <w:b/>
                <w:bCs/>
                <w:sz w:val="44"/>
              </w:rPr>
              <w:t>0926</w:t>
            </w:r>
            <w:r>
              <w:rPr>
                <w:b/>
                <w:bCs/>
                <w:sz w:val="44"/>
              </w:rPr>
              <w:t>号提案的办理答复</w:t>
            </w:r>
            <w:bookmarkEnd w:id="1"/>
          </w:p>
        </w:tc>
      </w:tr>
      <w:tr w:rsidR="00313CB9" w:rsidTr="00372770">
        <w:tc>
          <w:tcPr>
            <w:tcW w:w="3106" w:type="pct"/>
            <w:gridSpan w:val="3"/>
            <w:tcBorders>
              <w:tl2br w:val="nil"/>
              <w:tr2bl w:val="nil"/>
            </w:tcBorders>
          </w:tcPr>
          <w:p w:rsidR="00313CB9" w:rsidRDefault="00313CB9">
            <w:pPr>
              <w:spacing w:line="480" w:lineRule="exact"/>
              <w:ind w:rightChars="50" w:right="105"/>
              <w:jc w:val="right"/>
              <w:rPr>
                <w:rFonts w:eastAsia="仿宋_GB2312"/>
                <w:sz w:val="32"/>
              </w:rPr>
            </w:pPr>
          </w:p>
        </w:tc>
        <w:tc>
          <w:tcPr>
            <w:tcW w:w="963" w:type="pct"/>
            <w:gridSpan w:val="2"/>
            <w:tcBorders>
              <w:tl2br w:val="nil"/>
              <w:tr2bl w:val="nil"/>
            </w:tcBorders>
          </w:tcPr>
          <w:p w:rsidR="00313CB9" w:rsidRDefault="00C91721">
            <w:pPr>
              <w:spacing w:line="480" w:lineRule="exact"/>
              <w:ind w:rightChars="50" w:right="105"/>
              <w:jc w:val="left"/>
              <w:rPr>
                <w:rFonts w:eastAsia="仿宋_GB2312"/>
                <w:sz w:val="32"/>
              </w:rPr>
            </w:pPr>
            <w:r>
              <w:rPr>
                <w:rFonts w:eastAsia="仿宋_GB2312"/>
                <w:sz w:val="32"/>
              </w:rPr>
              <w:t xml:space="preserve">　　类别：</w:t>
            </w:r>
          </w:p>
        </w:tc>
        <w:sdt>
          <w:sdtPr>
            <w:rPr>
              <w:rFonts w:eastAsia="仿宋_GB2312"/>
              <w:sz w:val="32"/>
            </w:rPr>
            <w:id w:val="147470906"/>
            <w:placeholder>
              <w:docPart w:val="{fbbf2bac-2777-48b9-8fe3-c7d0d6fb2e8a}"/>
            </w:placeholder>
            <w:dropDownList>
              <w:listItem w:displayText="选择一项。" w:value="选择一项。"/>
              <w:listItem w:displayText="A" w:value="A"/>
              <w:listItem w:displayText="B" w:value="B"/>
              <w:listItem w:displayText="C" w:value="C"/>
            </w:dropDownList>
          </w:sdtPr>
          <w:sdtEndPr/>
          <w:sdtContent>
            <w:tc>
              <w:tcPr>
                <w:tcW w:w="931" w:type="pct"/>
                <w:tcBorders>
                  <w:tl2br w:val="nil"/>
                  <w:tr2bl w:val="nil"/>
                </w:tcBorders>
              </w:tcPr>
              <w:p w:rsidR="00313CB9" w:rsidRDefault="00C91721">
                <w:pPr>
                  <w:spacing w:line="480" w:lineRule="exact"/>
                  <w:ind w:rightChars="50" w:right="105"/>
                  <w:jc w:val="left"/>
                  <w:rPr>
                    <w:rFonts w:eastAsia="仿宋_GB2312"/>
                    <w:sz w:val="32"/>
                  </w:rPr>
                </w:pPr>
                <w:r>
                  <w:rPr>
                    <w:rFonts w:eastAsia="仿宋_GB2312"/>
                    <w:sz w:val="32"/>
                  </w:rPr>
                  <w:t>A</w:t>
                </w:r>
              </w:p>
            </w:tc>
          </w:sdtContent>
        </w:sdt>
      </w:tr>
      <w:tr w:rsidR="00313CB9" w:rsidTr="00372770">
        <w:tc>
          <w:tcPr>
            <w:tcW w:w="3106" w:type="pct"/>
            <w:gridSpan w:val="3"/>
            <w:tcBorders>
              <w:tl2br w:val="nil"/>
              <w:tr2bl w:val="nil"/>
            </w:tcBorders>
          </w:tcPr>
          <w:p w:rsidR="00313CB9" w:rsidRDefault="00313CB9">
            <w:pPr>
              <w:spacing w:line="480" w:lineRule="exact"/>
              <w:ind w:rightChars="50" w:right="105"/>
              <w:jc w:val="right"/>
              <w:rPr>
                <w:rFonts w:eastAsia="仿宋_GB2312"/>
                <w:sz w:val="32"/>
              </w:rPr>
            </w:pPr>
          </w:p>
        </w:tc>
        <w:tc>
          <w:tcPr>
            <w:tcW w:w="963" w:type="pct"/>
            <w:gridSpan w:val="2"/>
            <w:tcBorders>
              <w:tl2br w:val="nil"/>
              <w:tr2bl w:val="nil"/>
            </w:tcBorders>
          </w:tcPr>
          <w:p w:rsidR="00313CB9" w:rsidRDefault="00C91721">
            <w:pPr>
              <w:spacing w:line="480" w:lineRule="exact"/>
              <w:ind w:rightChars="50" w:right="105"/>
              <w:jc w:val="left"/>
              <w:rPr>
                <w:rFonts w:eastAsia="仿宋_GB2312"/>
                <w:sz w:val="32"/>
              </w:rPr>
            </w:pPr>
            <w:r>
              <w:rPr>
                <w:rFonts w:eastAsia="仿宋_GB2312"/>
                <w:sz w:val="32"/>
              </w:rPr>
              <w:t>签发领导：</w:t>
            </w:r>
          </w:p>
        </w:tc>
        <w:tc>
          <w:tcPr>
            <w:tcW w:w="931" w:type="pct"/>
            <w:tcBorders>
              <w:tl2br w:val="nil"/>
              <w:tr2bl w:val="nil"/>
            </w:tcBorders>
          </w:tcPr>
          <w:p w:rsidR="00313CB9" w:rsidRDefault="00C91721">
            <w:pPr>
              <w:spacing w:line="480" w:lineRule="exact"/>
              <w:ind w:rightChars="50" w:right="105"/>
              <w:jc w:val="left"/>
              <w:rPr>
                <w:rFonts w:eastAsia="仿宋_GB2312"/>
                <w:sz w:val="32"/>
              </w:rPr>
            </w:pPr>
            <w:r>
              <w:rPr>
                <w:rFonts w:eastAsia="仿宋_GB2312"/>
                <w:sz w:val="32"/>
              </w:rPr>
              <w:t>栾建章</w:t>
            </w:r>
          </w:p>
        </w:tc>
      </w:tr>
      <w:tr w:rsidR="00313CB9" w:rsidTr="00372770">
        <w:tc>
          <w:tcPr>
            <w:tcW w:w="3106" w:type="pct"/>
            <w:gridSpan w:val="3"/>
            <w:tcBorders>
              <w:tl2br w:val="nil"/>
              <w:tr2bl w:val="nil"/>
            </w:tcBorders>
          </w:tcPr>
          <w:p w:rsidR="00313CB9" w:rsidRDefault="00313CB9">
            <w:pPr>
              <w:spacing w:line="480" w:lineRule="exact"/>
              <w:ind w:rightChars="50" w:right="105"/>
              <w:jc w:val="right"/>
              <w:rPr>
                <w:rFonts w:eastAsia="仿宋_GB2312"/>
                <w:sz w:val="32"/>
              </w:rPr>
            </w:pPr>
          </w:p>
        </w:tc>
        <w:tc>
          <w:tcPr>
            <w:tcW w:w="963" w:type="pct"/>
            <w:gridSpan w:val="2"/>
            <w:tcBorders>
              <w:tl2br w:val="nil"/>
              <w:tr2bl w:val="nil"/>
            </w:tcBorders>
          </w:tcPr>
          <w:p w:rsidR="00313CB9" w:rsidRDefault="00C91721">
            <w:pPr>
              <w:spacing w:line="480" w:lineRule="exact"/>
              <w:ind w:rightChars="50" w:right="105"/>
              <w:jc w:val="left"/>
              <w:rPr>
                <w:rFonts w:eastAsia="仿宋_GB2312"/>
                <w:sz w:val="32"/>
              </w:rPr>
            </w:pPr>
            <w:r>
              <w:rPr>
                <w:rFonts w:eastAsia="仿宋_GB2312"/>
                <w:sz w:val="32"/>
              </w:rPr>
              <w:t>公开属性：</w:t>
            </w:r>
          </w:p>
        </w:tc>
        <w:sdt>
          <w:sdtPr>
            <w:rPr>
              <w:rFonts w:eastAsia="仿宋_GB2312"/>
              <w:sz w:val="32"/>
            </w:rPr>
            <w:id w:val="147470560"/>
            <w:placeholder>
              <w:docPart w:val="{5664cb10-74fb-4547-88a8-b8c5d4df73ec}"/>
            </w:placeholder>
            <w:dropDownList>
              <w:listItem w:displayText="选择一项。" w:value="选择一项。"/>
              <w:listItem w:displayText="是" w:value="是"/>
              <w:listItem w:displayText="否" w:value="否"/>
            </w:dropDownList>
          </w:sdtPr>
          <w:sdtEndPr/>
          <w:sdtContent>
            <w:tc>
              <w:tcPr>
                <w:tcW w:w="931" w:type="pct"/>
                <w:tcBorders>
                  <w:tl2br w:val="nil"/>
                  <w:tr2bl w:val="nil"/>
                </w:tcBorders>
              </w:tcPr>
              <w:p w:rsidR="00313CB9" w:rsidRDefault="00C91721">
                <w:pPr>
                  <w:spacing w:line="480" w:lineRule="exact"/>
                  <w:ind w:rightChars="50" w:right="105"/>
                  <w:jc w:val="left"/>
                  <w:rPr>
                    <w:rFonts w:eastAsia="仿宋_GB2312"/>
                    <w:sz w:val="32"/>
                  </w:rPr>
                </w:pPr>
                <w:r>
                  <w:rPr>
                    <w:rFonts w:eastAsia="仿宋_GB2312"/>
                    <w:sz w:val="32"/>
                  </w:rPr>
                  <w:t>是</w:t>
                </w:r>
              </w:p>
            </w:tc>
          </w:sdtContent>
        </w:sdt>
      </w:tr>
      <w:tr w:rsidR="00313CB9">
        <w:tc>
          <w:tcPr>
            <w:tcW w:w="5000" w:type="pct"/>
            <w:gridSpan w:val="6"/>
            <w:tcBorders>
              <w:tl2br w:val="nil"/>
              <w:tr2bl w:val="nil"/>
            </w:tcBorders>
          </w:tcPr>
          <w:p w:rsidR="00313CB9" w:rsidRDefault="00C91721">
            <w:pPr>
              <w:spacing w:line="560" w:lineRule="exact"/>
              <w:ind w:rightChars="50" w:right="105"/>
              <w:rPr>
                <w:rFonts w:eastAsia="仿宋_GB2312"/>
                <w:sz w:val="32"/>
              </w:rPr>
            </w:pPr>
            <w:r>
              <w:rPr>
                <w:rFonts w:eastAsia="仿宋_GB2312"/>
                <w:sz w:val="32"/>
              </w:rPr>
              <w:t>苏宏邦委员：</w:t>
            </w:r>
          </w:p>
        </w:tc>
      </w:tr>
      <w:tr w:rsidR="00313CB9">
        <w:tc>
          <w:tcPr>
            <w:tcW w:w="5000" w:type="pct"/>
            <w:gridSpan w:val="6"/>
            <w:tcBorders>
              <w:tl2br w:val="nil"/>
              <w:tr2bl w:val="nil"/>
            </w:tcBorders>
          </w:tcPr>
          <w:p w:rsidR="00313CB9" w:rsidRDefault="00C91721" w:rsidP="00133666">
            <w:pPr>
              <w:spacing w:line="600" w:lineRule="exact"/>
              <w:rPr>
                <w:rFonts w:eastAsia="仿宋_GB2312"/>
                <w:sz w:val="32"/>
              </w:rPr>
            </w:pPr>
            <w:r>
              <w:rPr>
                <w:rFonts w:eastAsia="仿宋_GB2312"/>
                <w:sz w:val="32"/>
                <w:szCs w:val="18"/>
              </w:rPr>
              <w:t xml:space="preserve">　　</w:t>
            </w:r>
            <w:bookmarkStart w:id="2" w:name="shuo"/>
            <w:r>
              <w:rPr>
                <w:rFonts w:eastAsia="仿宋_GB2312"/>
                <w:sz w:val="32"/>
                <w:szCs w:val="18"/>
              </w:rPr>
              <w:t>您提出的关于结合</w:t>
            </w:r>
            <w:r>
              <w:rPr>
                <w:rFonts w:eastAsia="仿宋_GB2312" w:hint="eastAsia"/>
                <w:sz w:val="32"/>
                <w:szCs w:val="18"/>
              </w:rPr>
              <w:t>香港</w:t>
            </w:r>
            <w:r>
              <w:rPr>
                <w:rFonts w:eastAsia="仿宋_GB2312"/>
                <w:sz w:val="32"/>
                <w:szCs w:val="18"/>
              </w:rPr>
              <w:t>及</w:t>
            </w:r>
            <w:r w:rsidR="00133666">
              <w:rPr>
                <w:rFonts w:eastAsia="仿宋_GB2312" w:hint="eastAsia"/>
                <w:sz w:val="32"/>
                <w:szCs w:val="18"/>
              </w:rPr>
              <w:t>大</w:t>
            </w:r>
            <w:r>
              <w:rPr>
                <w:rFonts w:eastAsia="仿宋_GB2312"/>
                <w:sz w:val="32"/>
                <w:szCs w:val="18"/>
              </w:rPr>
              <w:t>湾区优势，推动</w:t>
            </w:r>
            <w:r w:rsidR="00133666">
              <w:rPr>
                <w:rFonts w:ascii="Meiryo" w:eastAsiaTheme="minorEastAsia" w:hAnsi="Meiryo" w:cs="Meiryo" w:hint="eastAsia"/>
                <w:sz w:val="32"/>
                <w:szCs w:val="18"/>
              </w:rPr>
              <w:t>大</w:t>
            </w:r>
            <w:r>
              <w:rPr>
                <w:rFonts w:ascii="仿宋_GB2312" w:eastAsia="仿宋_GB2312" w:hAnsi="仿宋_GB2312" w:cs="仿宋_GB2312" w:hint="eastAsia"/>
                <w:sz w:val="32"/>
                <w:szCs w:val="18"/>
              </w:rPr>
              <w:t>健康产业融合发展的提案，经会同市文化和旅游局、市体育局、市人社局、市卫健委、市科技局等单位研究答复如下</w:t>
            </w:r>
            <w:bookmarkEnd w:id="2"/>
            <w:r>
              <w:rPr>
                <w:rFonts w:ascii="仿宋_GB2312" w:eastAsia="仿宋_GB2312" w:hAnsi="仿宋_GB2312" w:cs="仿宋_GB2312" w:hint="eastAsia"/>
                <w:sz w:val="32"/>
                <w:szCs w:val="18"/>
              </w:rPr>
              <w:t>：</w:t>
            </w:r>
            <w:bookmarkStart w:id="3" w:name="_GoBack"/>
            <w:bookmarkEnd w:id="3"/>
          </w:p>
        </w:tc>
      </w:tr>
      <w:tr w:rsidR="00313CB9">
        <w:trPr>
          <w:trHeight w:val="1562"/>
        </w:trPr>
        <w:tc>
          <w:tcPr>
            <w:tcW w:w="5000" w:type="pct"/>
            <w:gridSpan w:val="6"/>
            <w:tcBorders>
              <w:tl2br w:val="nil"/>
              <w:tr2bl w:val="nil"/>
            </w:tcBorders>
          </w:tcPr>
          <w:p w:rsidR="00313CB9" w:rsidRDefault="00C91721">
            <w:pPr>
              <w:spacing w:line="600" w:lineRule="exact"/>
              <w:ind w:firstLineChars="200" w:firstLine="640"/>
              <w:rPr>
                <w:rFonts w:eastAsia="黑体"/>
                <w:sz w:val="32"/>
                <w:szCs w:val="32"/>
              </w:rPr>
            </w:pPr>
            <w:r>
              <w:rPr>
                <w:rFonts w:eastAsia="黑体"/>
                <w:sz w:val="32"/>
                <w:szCs w:val="32"/>
              </w:rPr>
              <w:t>一、在文化旅游领域</w:t>
            </w:r>
          </w:p>
          <w:p w:rsidR="00313CB9" w:rsidRDefault="00C91721">
            <w:pPr>
              <w:spacing w:line="600" w:lineRule="exact"/>
              <w:ind w:rightChars="50" w:right="105" w:firstLineChars="200" w:firstLine="640"/>
              <w:rPr>
                <w:rFonts w:eastAsia="仿宋_GB2312"/>
                <w:sz w:val="32"/>
                <w:szCs w:val="32"/>
              </w:rPr>
            </w:pPr>
            <w:r>
              <w:rPr>
                <w:rFonts w:eastAsia="仿宋_GB2312"/>
                <w:sz w:val="32"/>
                <w:szCs w:val="32"/>
              </w:rPr>
              <w:t>按照文化和旅游部在全国范围内的部署要求，我市正在积极推进旅游资源普查工作。我市旅游资源普查对象和范围，为全市范围内能对旅游者产生吸引力，可以为旅游业开发利用，并可产生经济效益、社会效益和环境效益的各种事物和现象。我局将结合旅游资源普查，全面摸清我市各类旅游资源底数，指导各区加大旅游资源开发力度，推进我市</w:t>
            </w:r>
            <w:r>
              <w:rPr>
                <w:rFonts w:eastAsia="仿宋_GB2312"/>
                <w:sz w:val="32"/>
                <w:szCs w:val="32"/>
              </w:rPr>
              <w:t>“</w:t>
            </w:r>
            <w:r>
              <w:rPr>
                <w:rFonts w:eastAsia="仿宋_GB2312"/>
                <w:sz w:val="32"/>
                <w:szCs w:val="32"/>
              </w:rPr>
              <w:t>旅游</w:t>
            </w:r>
            <w:r>
              <w:rPr>
                <w:rFonts w:eastAsia="仿宋_GB2312"/>
                <w:sz w:val="32"/>
                <w:szCs w:val="32"/>
              </w:rPr>
              <w:t>+</w:t>
            </w:r>
            <w:r>
              <w:rPr>
                <w:rFonts w:eastAsia="仿宋_GB2312"/>
                <w:sz w:val="32"/>
                <w:szCs w:val="32"/>
              </w:rPr>
              <w:t>康养</w:t>
            </w:r>
            <w:r>
              <w:rPr>
                <w:rFonts w:eastAsia="仿宋_GB2312"/>
                <w:sz w:val="32"/>
                <w:szCs w:val="32"/>
              </w:rPr>
              <w:t>”</w:t>
            </w:r>
            <w:r>
              <w:rPr>
                <w:rFonts w:eastAsia="仿宋_GB2312"/>
                <w:sz w:val="32"/>
                <w:szCs w:val="32"/>
              </w:rPr>
              <w:t>的发展。</w:t>
            </w:r>
          </w:p>
          <w:p w:rsidR="00313CB9" w:rsidRDefault="00C91721">
            <w:pPr>
              <w:spacing w:line="600" w:lineRule="exact"/>
              <w:ind w:rightChars="50" w:right="105" w:firstLineChars="200" w:firstLine="640"/>
              <w:rPr>
                <w:rFonts w:eastAsia="黑体"/>
                <w:b/>
                <w:bCs/>
                <w:sz w:val="32"/>
              </w:rPr>
            </w:pPr>
            <w:r>
              <w:rPr>
                <w:rFonts w:eastAsia="黑体"/>
                <w:sz w:val="32"/>
              </w:rPr>
              <w:lastRenderedPageBreak/>
              <w:t>二、在体育领域</w:t>
            </w:r>
          </w:p>
          <w:p w:rsidR="00313CB9" w:rsidRDefault="00C91721">
            <w:pPr>
              <w:spacing w:line="600" w:lineRule="exact"/>
              <w:ind w:rightChars="50" w:right="105" w:firstLineChars="200" w:firstLine="640"/>
              <w:rPr>
                <w:rFonts w:eastAsia="仿宋_GB2312"/>
                <w:sz w:val="32"/>
              </w:rPr>
            </w:pPr>
            <w:r>
              <w:rPr>
                <w:rFonts w:eastAsia="仿宋_GB2312"/>
                <w:sz w:val="32"/>
              </w:rPr>
              <w:t>我市将统筹推进引育国际国内重大赛事，举办系列体育赛事活动，构建新型</w:t>
            </w:r>
            <w:r>
              <w:rPr>
                <w:rFonts w:eastAsia="仿宋_GB2312"/>
                <w:sz w:val="32"/>
              </w:rPr>
              <w:t>“</w:t>
            </w:r>
            <w:r>
              <w:rPr>
                <w:rFonts w:eastAsia="仿宋_GB2312"/>
                <w:sz w:val="32"/>
              </w:rPr>
              <w:t>体育</w:t>
            </w:r>
            <w:r>
              <w:rPr>
                <w:rFonts w:eastAsia="仿宋_GB2312"/>
                <w:sz w:val="32"/>
              </w:rPr>
              <w:t>+</w:t>
            </w:r>
            <w:r>
              <w:rPr>
                <w:rFonts w:eastAsia="仿宋_GB2312"/>
                <w:sz w:val="32"/>
              </w:rPr>
              <w:t>健康</w:t>
            </w:r>
            <w:r>
              <w:rPr>
                <w:rFonts w:eastAsia="仿宋_GB2312"/>
                <w:sz w:val="32"/>
              </w:rPr>
              <w:t>”</w:t>
            </w:r>
            <w:r>
              <w:rPr>
                <w:rFonts w:eastAsia="仿宋_GB2312"/>
                <w:sz w:val="32"/>
              </w:rPr>
              <w:t>场景，发挥体育赛事活动对大健康产业的拉动作用，进一步推进体育赛事与大健康产业融合发展。</w:t>
            </w:r>
            <w:r>
              <w:rPr>
                <w:rFonts w:eastAsia="仿宋_GB2312"/>
                <w:b/>
                <w:bCs/>
                <w:sz w:val="32"/>
              </w:rPr>
              <w:t>一是</w:t>
            </w:r>
            <w:r>
              <w:rPr>
                <w:rFonts w:eastAsia="仿宋_GB2312"/>
                <w:sz w:val="32"/>
              </w:rPr>
              <w:t>推动赛事活动赋能大健康产业，持续推动体育赛事提档升级，在成功举办中超联赛、排球联赛、</w:t>
            </w:r>
            <w:r>
              <w:rPr>
                <w:rFonts w:eastAsia="仿宋_GB2312"/>
                <w:sz w:val="32"/>
              </w:rPr>
              <w:t>CBA</w:t>
            </w:r>
            <w:r>
              <w:rPr>
                <w:rFonts w:eastAsia="仿宋_GB2312"/>
                <w:sz w:val="32"/>
              </w:rPr>
              <w:t>联赛等</w:t>
            </w:r>
            <w:r>
              <w:rPr>
                <w:rFonts w:eastAsia="仿宋_GB2312"/>
                <w:sz w:val="32"/>
              </w:rPr>
              <w:t>“</w:t>
            </w:r>
            <w:r>
              <w:rPr>
                <w:rFonts w:eastAsia="仿宋_GB2312"/>
                <w:sz w:val="32"/>
              </w:rPr>
              <w:t>三大球</w:t>
            </w:r>
            <w:r>
              <w:rPr>
                <w:rFonts w:eastAsia="仿宋_GB2312"/>
                <w:sz w:val="32"/>
              </w:rPr>
              <w:t>”</w:t>
            </w:r>
            <w:r>
              <w:rPr>
                <w:rFonts w:eastAsia="仿宋_GB2312"/>
                <w:sz w:val="32"/>
              </w:rPr>
              <w:t>高水平体育赛事的基础上，举办好天津马拉松、全国公路自行车职业联赛等活动，继续推动</w:t>
            </w:r>
            <w:r>
              <w:rPr>
                <w:rFonts w:eastAsia="仿宋_GB2312"/>
                <w:sz w:val="32"/>
              </w:rPr>
              <w:t>“</w:t>
            </w:r>
            <w:r>
              <w:rPr>
                <w:rFonts w:eastAsia="仿宋_GB2312"/>
                <w:sz w:val="32"/>
              </w:rPr>
              <w:t>体育赛事进景区、进街区、进商圈</w:t>
            </w:r>
            <w:r>
              <w:rPr>
                <w:rFonts w:eastAsia="仿宋_GB2312"/>
                <w:sz w:val="32"/>
              </w:rPr>
              <w:t>”</w:t>
            </w:r>
            <w:r>
              <w:rPr>
                <w:rFonts w:eastAsia="仿宋_GB2312"/>
                <w:sz w:val="32"/>
              </w:rPr>
              <w:t>，促进体育竞赛与大健康产业融合发展。</w:t>
            </w:r>
            <w:r>
              <w:rPr>
                <w:rFonts w:eastAsia="仿宋_GB2312"/>
                <w:b/>
                <w:bCs/>
                <w:sz w:val="32"/>
              </w:rPr>
              <w:t>二是</w:t>
            </w:r>
            <w:r>
              <w:rPr>
                <w:rFonts w:eastAsia="仿宋_GB2312"/>
                <w:sz w:val="32"/>
              </w:rPr>
              <w:t>持续发力举办群众体育赛事活动，持续营造全民健身浓厚氛围，精心筹办</w:t>
            </w:r>
            <w:r>
              <w:rPr>
                <w:rFonts w:eastAsia="仿宋_GB2312"/>
                <w:sz w:val="32"/>
              </w:rPr>
              <w:t>“</w:t>
            </w:r>
            <w:r>
              <w:rPr>
                <w:rFonts w:eastAsia="仿宋_GB2312"/>
                <w:sz w:val="32"/>
              </w:rPr>
              <w:t>体彩杯</w:t>
            </w:r>
            <w:r>
              <w:rPr>
                <w:rFonts w:eastAsia="仿宋_GB2312"/>
                <w:sz w:val="32"/>
              </w:rPr>
              <w:t>”2025</w:t>
            </w:r>
            <w:r>
              <w:rPr>
                <w:rFonts w:eastAsia="仿宋_GB2312"/>
                <w:sz w:val="32"/>
              </w:rPr>
              <w:t>年天津市全民健身健康运动会，开展新年登高、健身大拜年、行走大运河、纪念</w:t>
            </w:r>
            <w:r>
              <w:rPr>
                <w:rFonts w:eastAsia="仿宋_GB2312"/>
                <w:sz w:val="32"/>
              </w:rPr>
              <w:t>“</w:t>
            </w:r>
            <w:r>
              <w:rPr>
                <w:rFonts w:eastAsia="仿宋_GB2312"/>
                <w:sz w:val="32"/>
              </w:rPr>
              <w:t>发展体育运动，增强人民体质</w:t>
            </w:r>
            <w:r>
              <w:rPr>
                <w:rFonts w:eastAsia="仿宋_GB2312"/>
                <w:sz w:val="32"/>
              </w:rPr>
              <w:t>”</w:t>
            </w:r>
            <w:r>
              <w:rPr>
                <w:rFonts w:eastAsia="仿宋_GB2312"/>
                <w:sz w:val="32"/>
              </w:rPr>
              <w:t>题词、全民健身日、九九重阳、大众冰雪季等主题系列活动。开展第五届社区运动会。持续举办海河龙舟赛、</w:t>
            </w:r>
            <w:r>
              <w:rPr>
                <w:rFonts w:eastAsia="仿宋_GB2312"/>
                <w:sz w:val="32"/>
              </w:rPr>
              <w:t>“</w:t>
            </w:r>
            <w:r>
              <w:rPr>
                <w:rFonts w:eastAsia="仿宋_GB2312"/>
                <w:sz w:val="32"/>
              </w:rPr>
              <w:t>三大球</w:t>
            </w:r>
            <w:r>
              <w:rPr>
                <w:rFonts w:eastAsia="仿宋_GB2312"/>
                <w:sz w:val="32"/>
              </w:rPr>
              <w:t>”“</w:t>
            </w:r>
            <w:r>
              <w:rPr>
                <w:rFonts w:eastAsia="仿宋_GB2312"/>
                <w:sz w:val="32"/>
              </w:rPr>
              <w:t>三小球</w:t>
            </w:r>
            <w:r>
              <w:rPr>
                <w:rFonts w:eastAsia="仿宋_GB2312"/>
                <w:sz w:val="32"/>
              </w:rPr>
              <w:t>”</w:t>
            </w:r>
            <w:r>
              <w:rPr>
                <w:rFonts w:eastAsia="仿宋_GB2312"/>
                <w:sz w:val="32"/>
              </w:rPr>
              <w:t>业余联赛等品牌赛事。支持开展面向老年人、残疾人、农民、职工、妇女等重点人群的</w:t>
            </w:r>
            <w:r>
              <w:rPr>
                <w:rFonts w:eastAsia="仿宋_GB2312"/>
                <w:sz w:val="32"/>
              </w:rPr>
              <w:t>“</w:t>
            </w:r>
            <w:r>
              <w:rPr>
                <w:rFonts w:eastAsia="仿宋_GB2312"/>
                <w:sz w:val="32"/>
              </w:rPr>
              <w:t>三八健康杯</w:t>
            </w:r>
            <w:r>
              <w:rPr>
                <w:rFonts w:eastAsia="仿宋_GB2312"/>
                <w:sz w:val="32"/>
              </w:rPr>
              <w:t>”</w:t>
            </w:r>
            <w:r>
              <w:rPr>
                <w:rFonts w:eastAsia="仿宋_GB2312"/>
                <w:sz w:val="32"/>
              </w:rPr>
              <w:t>妇女广场舞大赛、村</w:t>
            </w:r>
            <w:r>
              <w:rPr>
                <w:rFonts w:eastAsia="仿宋_GB2312"/>
                <w:sz w:val="32"/>
              </w:rPr>
              <w:t>BA</w:t>
            </w:r>
            <w:r>
              <w:rPr>
                <w:rFonts w:eastAsia="仿宋_GB2312"/>
                <w:sz w:val="32"/>
              </w:rPr>
              <w:t>、村超等赛事活动。</w:t>
            </w:r>
          </w:p>
          <w:p w:rsidR="00313CB9" w:rsidRDefault="00C91721">
            <w:pPr>
              <w:spacing w:line="600" w:lineRule="exact"/>
              <w:ind w:rightChars="50" w:right="105" w:firstLineChars="200" w:firstLine="640"/>
              <w:rPr>
                <w:rFonts w:eastAsia="黑体"/>
                <w:sz w:val="32"/>
              </w:rPr>
            </w:pPr>
            <w:r>
              <w:rPr>
                <w:rFonts w:eastAsia="黑体"/>
                <w:sz w:val="32"/>
              </w:rPr>
              <w:t>三、在科技领域</w:t>
            </w:r>
          </w:p>
          <w:p w:rsidR="00313CB9" w:rsidRDefault="00C91721">
            <w:pPr>
              <w:spacing w:line="600" w:lineRule="exact"/>
              <w:ind w:rightChars="50" w:right="105" w:firstLineChars="200" w:firstLine="640"/>
              <w:rPr>
                <w:rFonts w:eastAsia="仿宋_GB2312"/>
                <w:sz w:val="32"/>
              </w:rPr>
            </w:pPr>
            <w:r>
              <w:rPr>
                <w:rFonts w:eastAsia="仿宋_GB2312"/>
                <w:sz w:val="32"/>
              </w:rPr>
              <w:t>积极推动天津与粤港澳大湾区大健康领域科技合作，支持推荐天津医科大学、天津中医药大学与香港城市大学、澳门科技大学、澳门大学等联合申报多项科技部国家重点研发计划</w:t>
            </w:r>
            <w:r>
              <w:rPr>
                <w:rFonts w:eastAsia="仿宋_GB2312"/>
                <w:sz w:val="32"/>
              </w:rPr>
              <w:t>“</w:t>
            </w:r>
            <w:r>
              <w:rPr>
                <w:rFonts w:eastAsia="仿宋_GB2312"/>
                <w:sz w:val="32"/>
              </w:rPr>
              <w:t>战略性科技创新合作</w:t>
            </w:r>
            <w:r>
              <w:rPr>
                <w:rFonts w:eastAsia="仿宋_GB2312"/>
                <w:sz w:val="32"/>
              </w:rPr>
              <w:t>”</w:t>
            </w:r>
            <w:r>
              <w:rPr>
                <w:rFonts w:eastAsia="仿宋_GB2312"/>
                <w:sz w:val="32"/>
              </w:rPr>
              <w:t>重点专项，从治疗神经免疫疾病机制、临床应用研究、</w:t>
            </w:r>
            <w:r>
              <w:rPr>
                <w:rFonts w:eastAsia="仿宋_GB2312"/>
                <w:sz w:val="32"/>
              </w:rPr>
              <w:lastRenderedPageBreak/>
              <w:t>中成药作用机制、科学表征与转化等大健康领域开展合作。</w:t>
            </w:r>
          </w:p>
          <w:p w:rsidR="00313CB9" w:rsidRDefault="00C91721">
            <w:pPr>
              <w:spacing w:line="600" w:lineRule="exact"/>
              <w:ind w:rightChars="50" w:right="105" w:firstLineChars="200" w:firstLine="640"/>
              <w:rPr>
                <w:rFonts w:eastAsia="仿宋_GB2312"/>
                <w:sz w:val="32"/>
              </w:rPr>
            </w:pPr>
            <w:r>
              <w:rPr>
                <w:rFonts w:eastAsia="仿宋_GB2312"/>
                <w:sz w:val="32"/>
              </w:rPr>
              <w:t>下一步，我市将继续支持推荐天津医科大学、天津中医药大学、津药达仁堂集团、天士力医药集团等我市各类科研主体申报科技部国际创新平台、重点研发计划以及天津市国际科技合作项目，和包括中国香港、中国澳门在内的各国（地区）科研机构开展大健康领域科研、学术、人文交流，共同开展科研攻关，加强大健康领域人才培养和引进，推动大健康产业融合发展。</w:t>
            </w:r>
          </w:p>
          <w:p w:rsidR="00313CB9" w:rsidRDefault="00C91721">
            <w:pPr>
              <w:spacing w:line="600" w:lineRule="exact"/>
              <w:ind w:rightChars="50" w:right="105" w:firstLineChars="200" w:firstLine="640"/>
              <w:rPr>
                <w:rFonts w:eastAsia="黑体"/>
                <w:sz w:val="32"/>
              </w:rPr>
            </w:pPr>
            <w:r>
              <w:rPr>
                <w:rFonts w:eastAsia="黑体"/>
                <w:sz w:val="32"/>
              </w:rPr>
              <w:t>四、在卫生健康领域</w:t>
            </w:r>
          </w:p>
          <w:p w:rsidR="00313CB9" w:rsidRDefault="00C91721">
            <w:pPr>
              <w:spacing w:line="600" w:lineRule="exact"/>
              <w:ind w:rightChars="50" w:right="105" w:firstLine="640"/>
              <w:rPr>
                <w:rFonts w:eastAsia="仿宋_GB2312"/>
                <w:sz w:val="32"/>
              </w:rPr>
            </w:pPr>
            <w:r>
              <w:rPr>
                <w:rFonts w:eastAsia="仿宋_GB2312"/>
                <w:sz w:val="32"/>
              </w:rPr>
              <w:t>我市重视促进大健康产业发展工作，深入发掘行业资源潜能，系统谋划积极推动卫生健康事业产业融合发展。</w:t>
            </w:r>
            <w:r>
              <w:rPr>
                <w:rFonts w:eastAsia="仿宋_GB2312"/>
                <w:b/>
                <w:bCs/>
                <w:sz w:val="32"/>
              </w:rPr>
              <w:t>一是</w:t>
            </w:r>
            <w:r>
              <w:rPr>
                <w:rFonts w:eastAsia="仿宋_GB2312"/>
                <w:sz w:val="32"/>
              </w:rPr>
              <w:t>充分发挥卫生健康系统科技创新、临床研究和产品应用支撑作用，系统总结分析卫生健康系统支持生物医药产业工作路径，围绕</w:t>
            </w:r>
            <w:r>
              <w:rPr>
                <w:rFonts w:eastAsia="仿宋_GB2312"/>
                <w:sz w:val="32"/>
              </w:rPr>
              <w:t>“</w:t>
            </w:r>
            <w:r>
              <w:rPr>
                <w:rFonts w:eastAsia="仿宋_GB2312"/>
                <w:sz w:val="32"/>
              </w:rPr>
              <w:t>强组织、建机制、搭平台、优服务、抓项目</w:t>
            </w:r>
            <w:r>
              <w:rPr>
                <w:rFonts w:eastAsia="仿宋_GB2312"/>
                <w:sz w:val="32"/>
              </w:rPr>
              <w:t>”</w:t>
            </w:r>
            <w:r>
              <w:rPr>
                <w:rFonts w:eastAsia="仿宋_GB2312"/>
                <w:sz w:val="32"/>
              </w:rPr>
              <w:t>等</w:t>
            </w:r>
            <w:r>
              <w:rPr>
                <w:rFonts w:eastAsia="仿宋_GB2312"/>
                <w:sz w:val="32"/>
              </w:rPr>
              <w:t>5</w:t>
            </w:r>
            <w:r>
              <w:rPr>
                <w:rFonts w:eastAsia="仿宋_GB2312"/>
                <w:sz w:val="32"/>
              </w:rPr>
              <w:t>个方面持续发力，联合市疾控局出台支持生物医药产业高质量发展若干举措，积极服务推动生物医药产业高质量发展。</w:t>
            </w:r>
            <w:r>
              <w:rPr>
                <w:rFonts w:eastAsia="仿宋_GB2312"/>
                <w:b/>
                <w:bCs/>
                <w:sz w:val="32"/>
              </w:rPr>
              <w:t>二是</w:t>
            </w:r>
            <w:r>
              <w:rPr>
                <w:rFonts w:eastAsia="仿宋_GB2312"/>
                <w:sz w:val="32"/>
              </w:rPr>
              <w:t>统筹研究推动我市医疗领域扩大对外开放、健康服务业高水平开放和健康消费高质量发展工作，从通道型、平台型、海洋型、制度型、都市型等</w:t>
            </w:r>
            <w:r>
              <w:rPr>
                <w:rFonts w:eastAsia="仿宋_GB2312"/>
                <w:sz w:val="32"/>
              </w:rPr>
              <w:t>5</w:t>
            </w:r>
            <w:r>
              <w:rPr>
                <w:rFonts w:eastAsia="仿宋_GB2312"/>
                <w:sz w:val="32"/>
              </w:rPr>
              <w:t>个方面总结分析我委促进健康服务和健康消费工作着力点，研究出台《关于推动健康服务高水平开放</w:t>
            </w:r>
            <w:r>
              <w:rPr>
                <w:rFonts w:eastAsia="仿宋_GB2312"/>
                <w:sz w:val="32"/>
              </w:rPr>
              <w:t xml:space="preserve"> </w:t>
            </w:r>
            <w:r>
              <w:rPr>
                <w:rFonts w:eastAsia="仿宋_GB2312"/>
                <w:sz w:val="32"/>
              </w:rPr>
              <w:t>促进健康消费高质量发展的实施方案》。</w:t>
            </w:r>
            <w:r>
              <w:rPr>
                <w:rFonts w:eastAsia="仿宋_GB2312"/>
                <w:b/>
                <w:bCs/>
                <w:sz w:val="32"/>
              </w:rPr>
              <w:t>三是</w:t>
            </w:r>
            <w:r>
              <w:rPr>
                <w:rFonts w:eastAsia="仿宋_GB2312"/>
                <w:sz w:val="32"/>
              </w:rPr>
              <w:t>大力支持我市和粤港澳大湾区医疗机构合作交流。以患者诊疗和医疗机构需求为导向，鼓励两地医疗机构按照《中华人民共</w:t>
            </w:r>
            <w:r>
              <w:rPr>
                <w:rFonts w:eastAsia="仿宋_GB2312"/>
                <w:sz w:val="32"/>
              </w:rPr>
              <w:lastRenderedPageBreak/>
              <w:t>和国个人信息保护法》《远程医疗服务管理规范（试行）》《电子病历应用管理规范（试行）》等法律法规和规章要求，开展医疗服务优化、医疗技术提升、医疗机构管理等方面的交流合作，进一步促进优质医疗资源均衡布局，拓宽医疗机构业务发展视野，为两地居民提供更加便捷、优质的医疗服务。我市欢迎粤港澳大湾区有关机构为我市医疗机构提供学访交流机会，为促进两地深化合作搭建平台。</w:t>
            </w:r>
          </w:p>
          <w:p w:rsidR="00313CB9" w:rsidRDefault="00C91721">
            <w:pPr>
              <w:spacing w:line="600" w:lineRule="exact"/>
              <w:ind w:firstLineChars="200" w:firstLine="640"/>
              <w:jc w:val="left"/>
              <w:rPr>
                <w:rFonts w:eastAsia="黑体"/>
                <w:sz w:val="32"/>
              </w:rPr>
            </w:pPr>
            <w:r>
              <w:rPr>
                <w:rFonts w:eastAsia="黑体"/>
                <w:sz w:val="32"/>
              </w:rPr>
              <w:t>五、在人才交流方面</w:t>
            </w:r>
          </w:p>
          <w:p w:rsidR="00313CB9" w:rsidRDefault="00C91721">
            <w:pPr>
              <w:spacing w:line="600" w:lineRule="exact"/>
              <w:ind w:firstLineChars="200" w:firstLine="640"/>
              <w:jc w:val="left"/>
              <w:rPr>
                <w:rFonts w:eastAsia="仿宋_GB2312"/>
                <w:sz w:val="32"/>
                <w:szCs w:val="32"/>
                <w:shd w:val="clear" w:color="auto" w:fill="FFFFFF"/>
              </w:rPr>
            </w:pPr>
            <w:r>
              <w:rPr>
                <w:rFonts w:eastAsia="仿宋_GB2312"/>
                <w:sz w:val="32"/>
                <w:szCs w:val="32"/>
              </w:rPr>
              <w:t>我市高度重视大健康产业人才队伍建设，支持企业和社会开展大健康产业相关职业技能培训和技能评价，提升大健康产业人员队伍能力素质和技能水平，助力</w:t>
            </w:r>
            <w:r>
              <w:rPr>
                <w:rFonts w:eastAsia="仿宋_GB2312"/>
                <w:sz w:val="32"/>
                <w:szCs w:val="18"/>
              </w:rPr>
              <w:t>大健康产业高质</w:t>
            </w:r>
            <w:r>
              <w:rPr>
                <w:rFonts w:eastAsia="仿宋_GB2312"/>
                <w:sz w:val="32"/>
                <w:szCs w:val="32"/>
              </w:rPr>
              <w:t>量发展。</w:t>
            </w:r>
            <w:r>
              <w:rPr>
                <w:rFonts w:eastAsia="仿宋_GB2312"/>
                <w:b/>
                <w:bCs/>
                <w:sz w:val="32"/>
                <w:szCs w:val="32"/>
              </w:rPr>
              <w:t>一是</w:t>
            </w:r>
            <w:r>
              <w:rPr>
                <w:rFonts w:eastAsia="仿宋_GB2312"/>
                <w:sz w:val="32"/>
                <w:szCs w:val="32"/>
              </w:rPr>
              <w:t>开展职业技能培训。按照</w:t>
            </w:r>
            <w:r>
              <w:rPr>
                <w:rFonts w:eastAsia="仿宋_GB2312"/>
                <w:sz w:val="32"/>
                <w:szCs w:val="32"/>
              </w:rPr>
              <w:t>“</w:t>
            </w:r>
            <w:r>
              <w:rPr>
                <w:rFonts w:eastAsia="仿宋_GB2312"/>
                <w:sz w:val="32"/>
                <w:szCs w:val="32"/>
              </w:rPr>
              <w:t>需求引导培训、补贴对应等级</w:t>
            </w:r>
            <w:r>
              <w:rPr>
                <w:rFonts w:eastAsia="仿宋_GB2312"/>
                <w:sz w:val="32"/>
                <w:szCs w:val="32"/>
              </w:rPr>
              <w:t>”</w:t>
            </w:r>
            <w:r>
              <w:rPr>
                <w:rFonts w:eastAsia="仿宋_GB2312"/>
                <w:sz w:val="32"/>
                <w:szCs w:val="32"/>
              </w:rPr>
              <w:t>原则，将养老护理员、家政服务员、老年人能力评估师、健康照护师、营养配餐员、保健按摩师、健康管理师等大健康产业相关职业纳入《市场紧缺职业需求程度及培训补贴标准目录》，鼓励企业、职业院校、民办职</w:t>
            </w:r>
            <w:r>
              <w:rPr>
                <w:rFonts w:eastAsia="仿宋_GB2312"/>
                <w:sz w:val="32"/>
                <w:szCs w:val="40"/>
              </w:rPr>
              <w:t>业培训机构等开展相关职</w:t>
            </w:r>
            <w:r>
              <w:rPr>
                <w:rFonts w:eastAsia="仿宋_GB2312"/>
                <w:sz w:val="32"/>
                <w:szCs w:val="32"/>
              </w:rPr>
              <w:t>业技能培训，依规给予培训补贴。</w:t>
            </w:r>
            <w:r>
              <w:rPr>
                <w:rFonts w:eastAsia="仿宋_GB2312"/>
                <w:b/>
                <w:bCs/>
                <w:sz w:val="32"/>
                <w:szCs w:val="32"/>
              </w:rPr>
              <w:t>二是</w:t>
            </w:r>
            <w:r>
              <w:rPr>
                <w:rFonts w:eastAsia="仿宋_GB2312"/>
                <w:sz w:val="32"/>
                <w:szCs w:val="32"/>
              </w:rPr>
              <w:t>开展职业技能等级评价。支持企业、职业学校、行业协会等面向社会开展相关职业技能等级认定。支持大健康产业相关用人单位对本企业职工自主开展职业技能等级认定，颁发职业技能等级证书，证书信息实现全国联网可查。</w:t>
            </w:r>
            <w:r>
              <w:rPr>
                <w:rFonts w:eastAsia="仿宋_GB2312"/>
                <w:b/>
                <w:bCs/>
                <w:sz w:val="32"/>
                <w:szCs w:val="32"/>
              </w:rPr>
              <w:t>三是</w:t>
            </w:r>
            <w:r>
              <w:rPr>
                <w:rFonts w:eastAsia="仿宋_GB2312"/>
                <w:sz w:val="32"/>
                <w:szCs w:val="32"/>
              </w:rPr>
              <w:t>发挥技工教育资源优势。围绕我市大</w:t>
            </w:r>
            <w:r>
              <w:rPr>
                <w:rFonts w:eastAsia="仿宋_GB2312"/>
                <w:sz w:val="32"/>
                <w:szCs w:val="32"/>
                <w:shd w:val="clear" w:color="auto" w:fill="FFFFFF"/>
              </w:rPr>
              <w:t>健康产业需求，利用我市技工教育资源，开设老年服务管理等相关</w:t>
            </w:r>
            <w:r>
              <w:rPr>
                <w:rFonts w:eastAsia="仿宋_GB2312"/>
                <w:sz w:val="32"/>
                <w:szCs w:val="32"/>
                <w:shd w:val="clear" w:color="auto" w:fill="FFFFFF"/>
              </w:rPr>
              <w:lastRenderedPageBreak/>
              <w:t>专业，加强技能人才培养。在天津市机电工艺技师学院建设天津市老年服务与管理专业（养老护理员）高技能人才培训基地，按规定给予相应政策支持。</w:t>
            </w:r>
          </w:p>
          <w:p w:rsidR="00313CB9" w:rsidRDefault="00C91721">
            <w:pPr>
              <w:spacing w:line="600" w:lineRule="exact"/>
              <w:ind w:firstLineChars="200" w:firstLine="640"/>
              <w:jc w:val="left"/>
              <w:rPr>
                <w:rFonts w:eastAsia="仿宋_GB2312"/>
                <w:sz w:val="32"/>
              </w:rPr>
            </w:pPr>
            <w:r>
              <w:rPr>
                <w:rFonts w:eastAsia="仿宋_GB2312"/>
                <w:sz w:val="32"/>
                <w:szCs w:val="32"/>
                <w:shd w:val="clear" w:color="auto" w:fill="FFFFFF"/>
              </w:rPr>
              <w:t>下一步，我市将深入实施</w:t>
            </w:r>
            <w:r>
              <w:rPr>
                <w:rFonts w:eastAsia="仿宋_GB2312"/>
                <w:sz w:val="32"/>
                <w:szCs w:val="32"/>
                <w:shd w:val="clear" w:color="auto" w:fill="FFFFFF"/>
              </w:rPr>
              <w:t>“</w:t>
            </w:r>
            <w:r>
              <w:rPr>
                <w:rFonts w:eastAsia="仿宋_GB2312"/>
                <w:sz w:val="32"/>
                <w:szCs w:val="32"/>
                <w:shd w:val="clear" w:color="auto" w:fill="FFFFFF"/>
              </w:rPr>
              <w:t>海河工匠</w:t>
            </w:r>
            <w:r>
              <w:rPr>
                <w:rFonts w:eastAsia="仿宋_GB2312"/>
                <w:sz w:val="32"/>
                <w:szCs w:val="32"/>
                <w:shd w:val="clear" w:color="auto" w:fill="FFFFFF"/>
              </w:rPr>
              <w:t>”</w:t>
            </w:r>
            <w:r>
              <w:rPr>
                <w:rFonts w:eastAsia="仿宋_GB2312"/>
                <w:sz w:val="32"/>
                <w:szCs w:val="32"/>
                <w:shd w:val="clear" w:color="auto" w:fill="FFFFFF"/>
              </w:rPr>
              <w:t>建设工程，大力开展职业技能培训，</w:t>
            </w:r>
            <w:r>
              <w:rPr>
                <w:rFonts w:eastAsia="仿宋_GB2312"/>
                <w:sz w:val="32"/>
                <w:szCs w:val="32"/>
              </w:rPr>
              <w:t>支持我市技工学校和培训机构</w:t>
            </w:r>
            <w:r>
              <w:rPr>
                <w:rFonts w:eastAsia="仿宋_GB2312"/>
                <w:sz w:val="32"/>
                <w:szCs w:val="32"/>
                <w:shd w:val="clear" w:color="auto" w:fill="FFFFFF"/>
              </w:rPr>
              <w:t>与香港及大湾区的高校、职业院校和培训机构开展合作，共同培养大健康产业所需的各类人才，促进大健康产业高质量发展。</w:t>
            </w:r>
          </w:p>
        </w:tc>
      </w:tr>
      <w:tr w:rsidR="00313CB9">
        <w:tc>
          <w:tcPr>
            <w:tcW w:w="5000" w:type="pct"/>
            <w:gridSpan w:val="6"/>
            <w:tcBorders>
              <w:tl2br w:val="nil"/>
              <w:tr2bl w:val="nil"/>
            </w:tcBorders>
          </w:tcPr>
          <w:p w:rsidR="00313CB9" w:rsidRDefault="00313CB9">
            <w:pPr>
              <w:spacing w:line="580" w:lineRule="exact"/>
              <w:ind w:rightChars="50" w:right="105"/>
              <w:rPr>
                <w:rFonts w:eastAsia="仿宋_GB2312"/>
                <w:sz w:val="32"/>
              </w:rPr>
            </w:pPr>
          </w:p>
          <w:p w:rsidR="00372770" w:rsidRDefault="00372770">
            <w:pPr>
              <w:spacing w:line="580" w:lineRule="exact"/>
              <w:ind w:rightChars="50" w:right="105"/>
              <w:jc w:val="right"/>
              <w:rPr>
                <w:rFonts w:eastAsia="仿宋_GB2312"/>
                <w:sz w:val="32"/>
              </w:rPr>
            </w:pPr>
            <w:bookmarkStart w:id="4" w:name="now"/>
          </w:p>
          <w:p w:rsidR="00372770" w:rsidRDefault="00372770">
            <w:pPr>
              <w:spacing w:line="580" w:lineRule="exact"/>
              <w:ind w:rightChars="50" w:right="105"/>
              <w:jc w:val="right"/>
              <w:rPr>
                <w:rFonts w:eastAsia="仿宋_GB2312"/>
                <w:sz w:val="32"/>
              </w:rPr>
            </w:pPr>
          </w:p>
          <w:p w:rsidR="00372770" w:rsidRDefault="00372770">
            <w:pPr>
              <w:spacing w:line="580" w:lineRule="exact"/>
              <w:ind w:rightChars="50" w:right="105"/>
              <w:jc w:val="right"/>
              <w:rPr>
                <w:rFonts w:eastAsia="仿宋_GB2312"/>
                <w:sz w:val="32"/>
              </w:rPr>
            </w:pPr>
          </w:p>
          <w:p w:rsidR="00313CB9" w:rsidRDefault="00372770" w:rsidP="00372770">
            <w:pPr>
              <w:spacing w:line="580" w:lineRule="exact"/>
              <w:ind w:rightChars="50" w:right="105"/>
              <w:jc w:val="center"/>
              <w:rPr>
                <w:rFonts w:eastAsia="仿宋_GB2312"/>
                <w:sz w:val="32"/>
              </w:rPr>
            </w:pPr>
            <w:r>
              <w:rPr>
                <w:rFonts w:eastAsia="仿宋_GB2312" w:hint="eastAsia"/>
                <w:sz w:val="32"/>
              </w:rPr>
              <w:t xml:space="preserve">                          </w:t>
            </w:r>
            <w:r w:rsidR="00C91721">
              <w:rPr>
                <w:rFonts w:eastAsia="仿宋_GB2312"/>
                <w:sz w:val="32"/>
              </w:rPr>
              <w:t>2025</w:t>
            </w:r>
            <w:r w:rsidR="00C91721">
              <w:rPr>
                <w:rFonts w:eastAsia="仿宋_GB2312"/>
                <w:sz w:val="32"/>
              </w:rPr>
              <w:t>年</w:t>
            </w:r>
            <w:r w:rsidR="009F1016">
              <w:rPr>
                <w:rFonts w:eastAsia="仿宋_GB2312" w:hint="eastAsia"/>
                <w:sz w:val="32"/>
              </w:rPr>
              <w:t>4</w:t>
            </w:r>
            <w:r w:rsidR="00C91721">
              <w:rPr>
                <w:rFonts w:eastAsia="仿宋_GB2312"/>
                <w:sz w:val="32"/>
              </w:rPr>
              <w:t>月</w:t>
            </w:r>
            <w:r w:rsidR="009F1016">
              <w:rPr>
                <w:rFonts w:eastAsia="仿宋_GB2312"/>
                <w:sz w:val="32"/>
              </w:rPr>
              <w:t>2</w:t>
            </w:r>
            <w:r w:rsidR="00C91721">
              <w:rPr>
                <w:rFonts w:eastAsia="仿宋_GB2312"/>
                <w:sz w:val="32"/>
              </w:rPr>
              <w:t>日</w:t>
            </w:r>
            <w:bookmarkEnd w:id="4"/>
          </w:p>
          <w:p w:rsidR="00313CB9" w:rsidRDefault="00313CB9">
            <w:pPr>
              <w:spacing w:line="580" w:lineRule="exact"/>
              <w:ind w:rightChars="50" w:right="105"/>
              <w:jc w:val="right"/>
              <w:rPr>
                <w:rFonts w:eastAsia="仿宋_GB2312"/>
                <w:sz w:val="32"/>
              </w:rPr>
            </w:pPr>
          </w:p>
        </w:tc>
      </w:tr>
      <w:tr w:rsidR="00313CB9" w:rsidTr="00372770">
        <w:trPr>
          <w:trHeight w:val="606"/>
        </w:trPr>
        <w:tc>
          <w:tcPr>
            <w:tcW w:w="950" w:type="pct"/>
            <w:tcBorders>
              <w:tl2br w:val="nil"/>
              <w:tr2bl w:val="nil"/>
            </w:tcBorders>
          </w:tcPr>
          <w:p w:rsidR="00313CB9" w:rsidRDefault="00C91721">
            <w:pPr>
              <w:spacing w:line="580" w:lineRule="exact"/>
              <w:ind w:rightChars="50" w:right="105"/>
              <w:rPr>
                <w:rFonts w:eastAsia="仿宋_GB2312"/>
                <w:sz w:val="32"/>
              </w:rPr>
            </w:pPr>
            <w:bookmarkStart w:id="5" w:name="fyr"/>
            <w:bookmarkEnd w:id="5"/>
            <w:r>
              <w:rPr>
                <w:rFonts w:eastAsia="仿宋_GB2312"/>
                <w:sz w:val="32"/>
              </w:rPr>
              <w:t>工作人员：</w:t>
            </w:r>
          </w:p>
        </w:tc>
        <w:tc>
          <w:tcPr>
            <w:tcW w:w="1476" w:type="pct"/>
            <w:tcBorders>
              <w:tl2br w:val="nil"/>
              <w:tr2bl w:val="nil"/>
            </w:tcBorders>
          </w:tcPr>
          <w:p w:rsidR="00313CB9" w:rsidRDefault="00C91721">
            <w:pPr>
              <w:spacing w:line="580" w:lineRule="exact"/>
              <w:ind w:rightChars="50" w:right="105"/>
              <w:rPr>
                <w:rFonts w:eastAsia="仿宋_GB2312"/>
                <w:sz w:val="32"/>
              </w:rPr>
            </w:pPr>
            <w:r>
              <w:rPr>
                <w:rFonts w:eastAsia="仿宋_GB2312"/>
                <w:sz w:val="32"/>
              </w:rPr>
              <w:t>赵岩</w:t>
            </w:r>
          </w:p>
        </w:tc>
        <w:tc>
          <w:tcPr>
            <w:tcW w:w="977" w:type="pct"/>
            <w:gridSpan w:val="2"/>
            <w:tcBorders>
              <w:tl2br w:val="nil"/>
              <w:tr2bl w:val="nil"/>
            </w:tcBorders>
          </w:tcPr>
          <w:p w:rsidR="00313CB9" w:rsidRDefault="00C91721">
            <w:pPr>
              <w:spacing w:line="580" w:lineRule="exact"/>
              <w:ind w:rightChars="50" w:right="105"/>
              <w:rPr>
                <w:rFonts w:eastAsia="仿宋_GB2312"/>
                <w:sz w:val="32"/>
              </w:rPr>
            </w:pPr>
            <w:r>
              <w:rPr>
                <w:rFonts w:eastAsia="仿宋_GB2312"/>
                <w:sz w:val="32"/>
              </w:rPr>
              <w:t>联系电话：</w:t>
            </w:r>
          </w:p>
        </w:tc>
        <w:tc>
          <w:tcPr>
            <w:tcW w:w="1597" w:type="pct"/>
            <w:gridSpan w:val="2"/>
            <w:tcBorders>
              <w:tl2br w:val="nil"/>
              <w:tr2bl w:val="nil"/>
            </w:tcBorders>
          </w:tcPr>
          <w:p w:rsidR="00313CB9" w:rsidRDefault="00C91721">
            <w:pPr>
              <w:spacing w:line="580" w:lineRule="exact"/>
              <w:ind w:rightChars="50" w:right="105"/>
              <w:rPr>
                <w:rFonts w:eastAsia="仿宋_GB2312"/>
                <w:sz w:val="32"/>
              </w:rPr>
            </w:pPr>
            <w:r>
              <w:rPr>
                <w:rFonts w:eastAsia="仿宋_GB2312"/>
                <w:sz w:val="32"/>
              </w:rPr>
              <w:t>63085813</w:t>
            </w:r>
          </w:p>
        </w:tc>
      </w:tr>
    </w:tbl>
    <w:p w:rsidR="00313CB9" w:rsidRDefault="00313CB9">
      <w:pPr>
        <w:spacing w:line="580" w:lineRule="exact"/>
        <w:ind w:rightChars="548" w:right="1151"/>
      </w:pPr>
    </w:p>
    <w:p w:rsidR="00313CB9" w:rsidRDefault="00313CB9">
      <w:pPr>
        <w:spacing w:line="580" w:lineRule="exact"/>
      </w:pPr>
    </w:p>
    <w:sectPr w:rsidR="00313CB9">
      <w:headerReference w:type="default" r:id="rId8"/>
      <w:footerReference w:type="even" r:id="rId9"/>
      <w:footerReference w:type="default" r:id="rId10"/>
      <w:pgSz w:w="11906" w:h="16838"/>
      <w:pgMar w:top="2098" w:right="1361" w:bottom="1985"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03E1" w:rsidRDefault="00FB03E1">
      <w:r>
        <w:separator/>
      </w:r>
    </w:p>
  </w:endnote>
  <w:endnote w:type="continuationSeparator" w:id="0">
    <w:p w:rsidR="00FB03E1" w:rsidRDefault="00FB03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华文中宋">
    <w:altName w:val="汉仪中宋简"/>
    <w:panose1 w:val="02010600040101010101"/>
    <w:charset w:val="86"/>
    <w:family w:val="auto"/>
    <w:pitch w:val="variable"/>
    <w:sig w:usb0="00000287" w:usb1="080F0000" w:usb2="00000010" w:usb3="00000000" w:csb0="0004009F" w:csb1="00000000"/>
  </w:font>
  <w:font w:name="Meiryo">
    <w:panose1 w:val="020B0604030504040204"/>
    <w:charset w:val="80"/>
    <w:family w:val="swiss"/>
    <w:pitch w:val="variable"/>
    <w:sig w:usb0="E10102FF" w:usb1="EAC7FFFF" w:usb2="0001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3CB9" w:rsidRDefault="00C91721">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313CB9" w:rsidRDefault="00313CB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3CB9" w:rsidRDefault="00C91721">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133666">
      <w:rPr>
        <w:rStyle w:val="ab"/>
        <w:noProof/>
      </w:rPr>
      <w:t>4</w:t>
    </w:r>
    <w:r>
      <w:rPr>
        <w:rStyle w:val="ab"/>
      </w:rPr>
      <w:fldChar w:fldCharType="end"/>
    </w:r>
  </w:p>
  <w:p w:rsidR="00313CB9" w:rsidRDefault="00313CB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03E1" w:rsidRDefault="00FB03E1">
      <w:r>
        <w:separator/>
      </w:r>
    </w:p>
  </w:footnote>
  <w:footnote w:type="continuationSeparator" w:id="0">
    <w:p w:rsidR="00FB03E1" w:rsidRDefault="00FB03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3CB9" w:rsidRDefault="00313CB9">
    <w:pPr>
      <w:pStyle w:val="a9"/>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C2A859F"/>
    <w:multiLevelType w:val="multilevel"/>
    <w:tmpl w:val="AC2A859F"/>
    <w:lvl w:ilvl="0">
      <w:start w:val="1"/>
      <w:numFmt w:val="chineseCounting"/>
      <w:pStyle w:val="-"/>
      <w:suff w:val="nothing"/>
      <w:lvlText w:val="（%1）"/>
      <w:lvlJc w:val="left"/>
      <w:pPr>
        <w:tabs>
          <w:tab w:val="left" w:pos="0"/>
        </w:tabs>
        <w:ind w:left="0" w:firstLine="400"/>
      </w:pPr>
      <w:rPr>
        <w:rFonts w:ascii="仿宋_GB2312" w:eastAsia="仿宋_GB2312" w:hAnsi="仿宋_GB2312" w:cs="宋体" w:hint="eastAsia"/>
        <w:sz w:val="32"/>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0"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cumentProtection w:edit="readOnly" w:enforcement="0"/>
  <w:defaultTabStop w:val="42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8FFE7609"/>
    <w:rsid w:val="9BDA16FE"/>
    <w:rsid w:val="D979E638"/>
    <w:rsid w:val="DA3ECA11"/>
    <w:rsid w:val="E6DB938D"/>
    <w:rsid w:val="E7FEFF2D"/>
    <w:rsid w:val="F5F933B4"/>
    <w:rsid w:val="FEDD1481"/>
    <w:rsid w:val="FFFB0D1C"/>
    <w:rsid w:val="0008725F"/>
    <w:rsid w:val="00116DAE"/>
    <w:rsid w:val="00133666"/>
    <w:rsid w:val="00151656"/>
    <w:rsid w:val="00160D66"/>
    <w:rsid w:val="00172A27"/>
    <w:rsid w:val="0018011C"/>
    <w:rsid w:val="00181F02"/>
    <w:rsid w:val="001A7225"/>
    <w:rsid w:val="001F61E3"/>
    <w:rsid w:val="002371A3"/>
    <w:rsid w:val="00261F6E"/>
    <w:rsid w:val="00272F04"/>
    <w:rsid w:val="00272F5E"/>
    <w:rsid w:val="00296F01"/>
    <w:rsid w:val="002B29B1"/>
    <w:rsid w:val="002C1912"/>
    <w:rsid w:val="002F0464"/>
    <w:rsid w:val="002F2BA0"/>
    <w:rsid w:val="00307EB1"/>
    <w:rsid w:val="00313CB9"/>
    <w:rsid w:val="003308ED"/>
    <w:rsid w:val="00354A16"/>
    <w:rsid w:val="00372068"/>
    <w:rsid w:val="00372770"/>
    <w:rsid w:val="00375D6E"/>
    <w:rsid w:val="00382172"/>
    <w:rsid w:val="004277E8"/>
    <w:rsid w:val="00460BAF"/>
    <w:rsid w:val="004C2F93"/>
    <w:rsid w:val="0052525D"/>
    <w:rsid w:val="00575302"/>
    <w:rsid w:val="0059759C"/>
    <w:rsid w:val="005B7C6A"/>
    <w:rsid w:val="005D25F2"/>
    <w:rsid w:val="005E0C68"/>
    <w:rsid w:val="005E7285"/>
    <w:rsid w:val="005F2062"/>
    <w:rsid w:val="005F5E66"/>
    <w:rsid w:val="00663555"/>
    <w:rsid w:val="007616B6"/>
    <w:rsid w:val="007746FD"/>
    <w:rsid w:val="007B2223"/>
    <w:rsid w:val="007D7D3A"/>
    <w:rsid w:val="007E1B8B"/>
    <w:rsid w:val="008155F9"/>
    <w:rsid w:val="00821E10"/>
    <w:rsid w:val="008222BF"/>
    <w:rsid w:val="00843262"/>
    <w:rsid w:val="00883F64"/>
    <w:rsid w:val="00895F09"/>
    <w:rsid w:val="00917F65"/>
    <w:rsid w:val="00930E75"/>
    <w:rsid w:val="00953B90"/>
    <w:rsid w:val="00982E66"/>
    <w:rsid w:val="009A0C11"/>
    <w:rsid w:val="009A5A86"/>
    <w:rsid w:val="009F1016"/>
    <w:rsid w:val="009F568A"/>
    <w:rsid w:val="00A01DE8"/>
    <w:rsid w:val="00A03B4F"/>
    <w:rsid w:val="00AE0062"/>
    <w:rsid w:val="00B21A65"/>
    <w:rsid w:val="00B32F4D"/>
    <w:rsid w:val="00B67BF0"/>
    <w:rsid w:val="00B96B7B"/>
    <w:rsid w:val="00C16116"/>
    <w:rsid w:val="00C40842"/>
    <w:rsid w:val="00C559AE"/>
    <w:rsid w:val="00C91721"/>
    <w:rsid w:val="00CC5ACA"/>
    <w:rsid w:val="00CD3DDD"/>
    <w:rsid w:val="00CD5AEB"/>
    <w:rsid w:val="00D07119"/>
    <w:rsid w:val="00D47E88"/>
    <w:rsid w:val="00DC2D37"/>
    <w:rsid w:val="00E00CB1"/>
    <w:rsid w:val="00E20115"/>
    <w:rsid w:val="00E81C98"/>
    <w:rsid w:val="00E87832"/>
    <w:rsid w:val="00F20A91"/>
    <w:rsid w:val="00F34F3B"/>
    <w:rsid w:val="00F80197"/>
    <w:rsid w:val="00FB03E1"/>
    <w:rsid w:val="02950A43"/>
    <w:rsid w:val="05FB352C"/>
    <w:rsid w:val="062C73BA"/>
    <w:rsid w:val="0F415A30"/>
    <w:rsid w:val="1A1A2EA1"/>
    <w:rsid w:val="1BE3569F"/>
    <w:rsid w:val="20FE4F37"/>
    <w:rsid w:val="22666FCA"/>
    <w:rsid w:val="23957D52"/>
    <w:rsid w:val="265833FB"/>
    <w:rsid w:val="2A106D0B"/>
    <w:rsid w:val="2DBE1A94"/>
    <w:rsid w:val="2DCA2874"/>
    <w:rsid w:val="377A2E5E"/>
    <w:rsid w:val="385C0DBD"/>
    <w:rsid w:val="3A57702C"/>
    <w:rsid w:val="3F3CE55B"/>
    <w:rsid w:val="3FEB9C9A"/>
    <w:rsid w:val="447E3320"/>
    <w:rsid w:val="45CB5298"/>
    <w:rsid w:val="4B30475B"/>
    <w:rsid w:val="4CA33CB0"/>
    <w:rsid w:val="4D14258D"/>
    <w:rsid w:val="55BFA956"/>
    <w:rsid w:val="560F4392"/>
    <w:rsid w:val="57073EC0"/>
    <w:rsid w:val="59C6063C"/>
    <w:rsid w:val="63E612D4"/>
    <w:rsid w:val="66F79180"/>
    <w:rsid w:val="693053CC"/>
    <w:rsid w:val="6AB50BAB"/>
    <w:rsid w:val="6BBECCB9"/>
    <w:rsid w:val="6CA056C1"/>
    <w:rsid w:val="6D957ABF"/>
    <w:rsid w:val="7312333B"/>
    <w:rsid w:val="75561D3A"/>
    <w:rsid w:val="7952225A"/>
    <w:rsid w:val="7D174045"/>
    <w:rsid w:val="7D3FE9DD"/>
    <w:rsid w:val="7D906DB7"/>
    <w:rsid w:val="7E674295"/>
    <w:rsid w:val="7EDEA418"/>
    <w:rsid w:val="7EF51F4A"/>
    <w:rsid w:val="7FFD2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8A653E04-28AD-4A9A-9975-A10A32C5C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qFormat="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qFormat="1"/>
    <w:lsdException w:name="Body Text" w:semiHidden="1"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qFormat="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qFormat/>
    <w:pPr>
      <w:ind w:firstLineChars="100" w:firstLine="420"/>
    </w:pPr>
    <w:rPr>
      <w:rFonts w:ascii="Calibri" w:hAnsi="Calibri"/>
    </w:rPr>
  </w:style>
  <w:style w:type="paragraph" w:styleId="a4">
    <w:name w:val="Body Text"/>
    <w:basedOn w:val="a"/>
    <w:next w:val="a5"/>
    <w:semiHidden/>
    <w:qFormat/>
    <w:pPr>
      <w:jc w:val="center"/>
    </w:pPr>
    <w:rPr>
      <w:rFonts w:ascii="宋体"/>
      <w:b/>
      <w:bCs/>
      <w:sz w:val="44"/>
    </w:rPr>
  </w:style>
  <w:style w:type="paragraph" w:styleId="a5">
    <w:name w:val="Balloon Text"/>
    <w:basedOn w:val="a"/>
    <w:semiHidden/>
    <w:qFormat/>
    <w:rPr>
      <w:sz w:val="18"/>
      <w:szCs w:val="18"/>
    </w:rPr>
  </w:style>
  <w:style w:type="paragraph" w:styleId="a6">
    <w:name w:val="Normal Indent"/>
    <w:basedOn w:val="a"/>
    <w:uiPriority w:val="99"/>
    <w:qFormat/>
    <w:pPr>
      <w:ind w:firstLineChars="200" w:firstLine="420"/>
    </w:pPr>
  </w:style>
  <w:style w:type="paragraph" w:styleId="5">
    <w:name w:val="index 5"/>
    <w:basedOn w:val="a"/>
    <w:next w:val="a"/>
    <w:qFormat/>
    <w:pPr>
      <w:ind w:left="1680"/>
    </w:pPr>
  </w:style>
  <w:style w:type="paragraph" w:styleId="a7">
    <w:name w:val="Date"/>
    <w:basedOn w:val="a"/>
    <w:next w:val="a"/>
    <w:semiHidden/>
    <w:qFormat/>
    <w:pPr>
      <w:ind w:leftChars="2500" w:left="100"/>
    </w:pPr>
    <w:rPr>
      <w:rFonts w:ascii="仿宋_GB2312" w:eastAsia="仿宋_GB2312"/>
      <w:sz w:val="32"/>
    </w:rPr>
  </w:style>
  <w:style w:type="paragraph" w:styleId="2">
    <w:name w:val="Body Text Indent 2"/>
    <w:basedOn w:val="a"/>
    <w:semiHidden/>
    <w:qFormat/>
    <w:pPr>
      <w:ind w:firstLineChars="200" w:firstLine="644"/>
    </w:pPr>
    <w:rPr>
      <w:rFonts w:eastAsia="黑体"/>
      <w:sz w:val="32"/>
    </w:rPr>
  </w:style>
  <w:style w:type="paragraph" w:styleId="a8">
    <w:name w:val="footer"/>
    <w:basedOn w:val="a"/>
    <w:next w:val="5"/>
    <w:link w:val="Char"/>
    <w:uiPriority w:val="99"/>
    <w:semiHidden/>
    <w:unhideWhenUsed/>
    <w:qFormat/>
    <w:pPr>
      <w:tabs>
        <w:tab w:val="center" w:pos="4153"/>
        <w:tab w:val="right" w:pos="8306"/>
      </w:tabs>
      <w:snapToGrid w:val="0"/>
      <w:jc w:val="left"/>
    </w:pPr>
    <w:rPr>
      <w:sz w:val="18"/>
      <w:szCs w:val="18"/>
    </w:rPr>
  </w:style>
  <w:style w:type="paragraph" w:styleId="a9">
    <w:name w:val="header"/>
    <w:basedOn w:val="a"/>
    <w:link w:val="Char0"/>
    <w:uiPriority w:val="99"/>
    <w:semiHidden/>
    <w:unhideWhenUsed/>
    <w:qFormat/>
    <w:pPr>
      <w:pBdr>
        <w:bottom w:val="single" w:sz="6" w:space="1" w:color="auto"/>
      </w:pBdr>
      <w:tabs>
        <w:tab w:val="center" w:pos="4153"/>
        <w:tab w:val="right" w:pos="8306"/>
      </w:tabs>
      <w:snapToGrid w:val="0"/>
      <w:jc w:val="center"/>
    </w:pPr>
    <w:rPr>
      <w:sz w:val="18"/>
      <w:szCs w:val="18"/>
    </w:rPr>
  </w:style>
  <w:style w:type="table" w:styleId="aa">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b">
    <w:name w:val="page number"/>
    <w:basedOn w:val="a1"/>
    <w:qFormat/>
  </w:style>
  <w:style w:type="paragraph" w:customStyle="1" w:styleId="ac">
    <w:name w:val="默认"/>
    <w:qFormat/>
    <w:rPr>
      <w:rFonts w:ascii="Helvetica" w:eastAsia="Helvetica" w:hAnsi="Helvetica" w:cs="Helvetica"/>
      <w:color w:val="000000"/>
      <w:sz w:val="22"/>
      <w:szCs w:val="22"/>
    </w:rPr>
  </w:style>
  <w:style w:type="character" w:customStyle="1" w:styleId="Char0">
    <w:name w:val="页眉 Char"/>
    <w:basedOn w:val="a1"/>
    <w:link w:val="a9"/>
    <w:uiPriority w:val="99"/>
    <w:semiHidden/>
    <w:qFormat/>
    <w:rPr>
      <w:kern w:val="2"/>
      <w:sz w:val="18"/>
      <w:szCs w:val="18"/>
    </w:rPr>
  </w:style>
  <w:style w:type="character" w:customStyle="1" w:styleId="Char">
    <w:name w:val="页脚 Char"/>
    <w:basedOn w:val="a1"/>
    <w:link w:val="a8"/>
    <w:uiPriority w:val="99"/>
    <w:semiHidden/>
    <w:qFormat/>
    <w:rPr>
      <w:kern w:val="2"/>
      <w:sz w:val="18"/>
      <w:szCs w:val="18"/>
    </w:rPr>
  </w:style>
  <w:style w:type="paragraph" w:customStyle="1" w:styleId="-">
    <w:name w:val="公文-三级内容（一）"/>
    <w:basedOn w:val="a"/>
    <w:qFormat/>
    <w:pPr>
      <w:numPr>
        <w:numId w:val="1"/>
      </w:numPr>
      <w:spacing w:line="579" w:lineRule="exact"/>
    </w:pPr>
    <w:rPr>
      <w:rFonts w:ascii="仿宋_GB2312" w:eastAsia="仿宋_GB2312" w:hAnsi="仿宋_GB2312" w:cs="仿宋_GB2312" w:hint="eastAsia"/>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bbf2bac-2777-48b9-8fe3-c7d0d6fb2e8a}"/>
        <w:category>
          <w:name w:val="常规"/>
          <w:gallery w:val="placeholder"/>
        </w:category>
        <w:types>
          <w:type w:val="bbPlcHdr"/>
        </w:types>
        <w:behaviors>
          <w:behavior w:val="content"/>
        </w:behaviors>
        <w:guid w:val="{FBBF2BAC-2777-48B9-8FE3-C7D0D6FB2E8A}"/>
      </w:docPartPr>
      <w:docPartBody>
        <w:p w:rsidR="00720910" w:rsidRDefault="00BE7E0D">
          <w:r>
            <w:rPr>
              <w:color w:val="808080"/>
            </w:rPr>
            <w:t>选择一项。</w:t>
          </w:r>
        </w:p>
      </w:docPartBody>
    </w:docPart>
    <w:docPart>
      <w:docPartPr>
        <w:name w:val="{5664cb10-74fb-4547-88a8-b8c5d4df73ec}"/>
        <w:category>
          <w:name w:val="常规"/>
          <w:gallery w:val="placeholder"/>
        </w:category>
        <w:types>
          <w:type w:val="bbPlcHdr"/>
        </w:types>
        <w:behaviors>
          <w:behavior w:val="content"/>
        </w:behaviors>
        <w:guid w:val="{5664CB10-74FB-4547-88A8-B8C5D4DF73EC}"/>
      </w:docPartPr>
      <w:docPartBody>
        <w:p w:rsidR="00720910" w:rsidRDefault="00BE7E0D">
          <w:r>
            <w:rPr>
              <w:color w:val="808080"/>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华文中宋">
    <w:altName w:val="汉仪中宋简"/>
    <w:panose1 w:val="02010600040101010101"/>
    <w:charset w:val="86"/>
    <w:family w:val="auto"/>
    <w:pitch w:val="variable"/>
    <w:sig w:usb0="00000287" w:usb1="080F0000" w:usb2="00000010" w:usb3="00000000" w:csb0="0004009F" w:csb1="00000000"/>
  </w:font>
  <w:font w:name="Meiryo">
    <w:panose1 w:val="020B0604030504040204"/>
    <w:charset w:val="80"/>
    <w:family w:val="swiss"/>
    <w:pitch w:val="variable"/>
    <w:sig w:usb0="E10102FF" w:usb1="EAC7FFFF" w:usb2="0001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420"/>
  <w:characterSpacingControl w:val="doNotCompress"/>
  <w:compat>
    <w:useFELayout/>
    <w:splitPgBreakAndParaMark/>
    <w:compatSetting w:name="compatibilityMode" w:uri="http://schemas.microsoft.com/office/word" w:val="14"/>
  </w:compat>
  <w:rsids>
    <w:rsidRoot w:val="00720910"/>
    <w:rsid w:val="004321D1"/>
    <w:rsid w:val="00720910"/>
    <w:rsid w:val="00BE7E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339</Words>
  <Characters>1934</Characters>
  <Application>Microsoft Office Word</Application>
  <DocSecurity>0</DocSecurity>
  <Lines>16</Lines>
  <Paragraphs>4</Paragraphs>
  <ScaleCrop>false</ScaleCrop>
  <Company>spice</Company>
  <LinksUpToDate>false</LinksUpToDate>
  <CharactersWithSpaces>2269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各区县委办局办公室：</dc:title>
  <dc:creator>wjc</dc:creator>
  <cp:lastModifiedBy>Windows User</cp:lastModifiedBy>
  <cp:revision>5</cp:revision>
  <cp:lastPrinted>2025-03-31T09:13:00Z</cp:lastPrinted>
  <dcterms:created xsi:type="dcterms:W3CDTF">2021-04-10T03:49:00Z</dcterms:created>
  <dcterms:modified xsi:type="dcterms:W3CDTF">2025-04-01T03:06:00Z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